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</w:pPr>
      <w:bookmarkStart w:id="0" w:name="_Toc114426378"/>
      <w:r>
        <w:rPr>
          <w:rFonts w:hint="eastAsia"/>
        </w:rPr>
        <w:t>【日语听力2】</w:t>
      </w:r>
      <w:bookmarkEnd w:id="0"/>
    </w:p>
    <w:p>
      <w:pPr>
        <w:spacing w:line="288" w:lineRule="auto"/>
        <w:jc w:val="center"/>
        <w:rPr>
          <w:rFonts w:ascii="Calibri" w:hAnsi="Calibri" w:eastAsia="宋体" w:cs="Times New Roman"/>
          <w:b/>
          <w:sz w:val="28"/>
          <w:szCs w:val="30"/>
        </w:rPr>
      </w:pPr>
      <w:r>
        <w:rPr>
          <w:rFonts w:hint="eastAsia" w:ascii="Calibri" w:hAnsi="Calibri" w:eastAsia="宋体" w:cs="Times New Roman"/>
          <w:b/>
          <w:sz w:val="28"/>
          <w:szCs w:val="30"/>
        </w:rPr>
        <w:t>【</w:t>
      </w:r>
      <w:r>
        <w:rPr>
          <w:rFonts w:ascii="Calibri" w:hAnsi="Calibri" w:eastAsia="宋体" w:cs="Times New Roman"/>
          <w:b/>
          <w:sz w:val="28"/>
          <w:szCs w:val="30"/>
        </w:rPr>
        <w:t>Japanese Listening Beginner</w:t>
      </w:r>
      <w:r>
        <w:rPr>
          <w:rFonts w:hint="eastAsia" w:ascii="Calibri" w:hAnsi="Calibri" w:eastAsia="宋体" w:cs="Times New Roman"/>
          <w:b/>
          <w:sz w:val="28"/>
          <w:szCs w:val="30"/>
        </w:rPr>
        <w:t>2】</w:t>
      </w:r>
    </w:p>
    <w:p>
      <w:pPr>
        <w:spacing w:before="156" w:beforeLines="50" w:after="156" w:afterLines="50" w:line="288" w:lineRule="auto"/>
        <w:ind w:firstLine="360" w:firstLineChars="150"/>
        <w:rPr>
          <w:rFonts w:ascii="Calibri" w:hAnsi="Calibri" w:eastAsia="宋体" w:cs="Times New Roman"/>
          <w:b/>
          <w:color w:val="008080"/>
          <w:sz w:val="30"/>
          <w:szCs w:val="30"/>
        </w:rPr>
      </w:pPr>
      <w:r>
        <w:rPr>
          <w:rFonts w:ascii="黑体" w:hAnsi="宋体" w:eastAsia="黑体" w:cs="Times New Roman"/>
          <w:sz w:val="24"/>
        </w:rPr>
        <w:t>一</w:t>
      </w:r>
      <w:r>
        <w:rPr>
          <w:rFonts w:hint="eastAsia" w:ascii="黑体" w:hAnsi="宋体" w:eastAsia="黑体" w:cs="Times New Roman"/>
          <w:sz w:val="24"/>
        </w:rPr>
        <w:t>、</w:t>
      </w:r>
      <w:r>
        <w:rPr>
          <w:rFonts w:ascii="黑体" w:hAnsi="宋体" w:eastAsia="黑体" w:cs="Times New Roman"/>
          <w:sz w:val="24"/>
        </w:rPr>
        <w:t>基本信息</w:t>
      </w:r>
    </w:p>
    <w:p>
      <w:pPr>
        <w:snapToGrid w:val="0"/>
        <w:spacing w:line="288" w:lineRule="auto"/>
        <w:ind w:firstLine="392" w:firstLineChars="196"/>
        <w:rPr>
          <w:rFonts w:ascii="Calibri" w:hAnsi="Calibri" w:eastAsia="宋体" w:cs="Times New Roman"/>
          <w:color w:val="000000"/>
          <w:sz w:val="20"/>
          <w:szCs w:val="20"/>
        </w:rPr>
      </w:pPr>
      <w:r>
        <w:rPr>
          <w:rFonts w:ascii="Calibri" w:hAnsi="Calibri" w:eastAsia="宋体" w:cs="Times New Roman"/>
          <w:b/>
          <w:bCs/>
          <w:color w:val="000000"/>
          <w:sz w:val="20"/>
          <w:szCs w:val="20"/>
        </w:rPr>
        <w:t>课程代码：</w:t>
      </w:r>
      <w:r>
        <w:rPr>
          <w:rFonts w:ascii="Calibri" w:hAnsi="Calibri" w:eastAsia="宋体" w:cs="Times New Roman"/>
          <w:color w:val="000000"/>
          <w:sz w:val="20"/>
          <w:szCs w:val="20"/>
        </w:rPr>
        <w:t>【</w:t>
      </w:r>
      <w:r>
        <w:rPr>
          <w:rFonts w:hint="eastAsia" w:ascii="Calibri" w:hAnsi="Calibri" w:eastAsia="宋体" w:cs="Times New Roman"/>
          <w:color w:val="000000"/>
          <w:sz w:val="20"/>
          <w:szCs w:val="20"/>
        </w:rPr>
        <w:t>21</w:t>
      </w:r>
      <w:r>
        <w:rPr>
          <w:rFonts w:ascii="Calibri" w:hAnsi="Calibri" w:eastAsia="宋体" w:cs="Times New Roman"/>
          <w:color w:val="000000"/>
          <w:sz w:val="20"/>
          <w:szCs w:val="20"/>
        </w:rPr>
        <w:t>45016】</w:t>
      </w:r>
    </w:p>
    <w:p>
      <w:pPr>
        <w:snapToGrid w:val="0"/>
        <w:spacing w:line="288" w:lineRule="auto"/>
        <w:ind w:firstLine="392" w:firstLineChars="196"/>
        <w:rPr>
          <w:rFonts w:ascii="Calibri" w:hAnsi="Calibri" w:eastAsia="宋体" w:cs="Times New Roman"/>
          <w:color w:val="000000"/>
          <w:szCs w:val="21"/>
        </w:rPr>
      </w:pPr>
      <w:r>
        <w:rPr>
          <w:rFonts w:ascii="Calibri" w:hAnsi="Calibri" w:eastAsia="宋体" w:cs="Times New Roman"/>
          <w:b/>
          <w:bCs/>
          <w:color w:val="000000"/>
          <w:sz w:val="20"/>
          <w:szCs w:val="20"/>
        </w:rPr>
        <w:t>课程学分：</w:t>
      </w:r>
      <w:r>
        <w:rPr>
          <w:rFonts w:ascii="Calibri" w:hAnsi="Calibri" w:eastAsia="宋体" w:cs="Times New Roman"/>
          <w:color w:val="000000"/>
          <w:sz w:val="20"/>
          <w:szCs w:val="20"/>
        </w:rPr>
        <w:t>【</w:t>
      </w:r>
      <w:r>
        <w:rPr>
          <w:rFonts w:hint="eastAsia" w:ascii="Calibri" w:hAnsi="Calibri" w:eastAsia="宋体" w:cs="Times New Roman"/>
          <w:color w:val="000000"/>
          <w:sz w:val="20"/>
          <w:szCs w:val="20"/>
        </w:rPr>
        <w:t>2</w:t>
      </w:r>
      <w:r>
        <w:rPr>
          <w:rFonts w:ascii="Calibri" w:hAnsi="Calibri" w:eastAsia="宋体" w:cs="Times New Roman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rFonts w:ascii="Calibri" w:hAnsi="Calibri" w:eastAsia="宋体" w:cs="Times New Roman"/>
          <w:color w:val="000000"/>
          <w:szCs w:val="21"/>
        </w:rPr>
      </w:pPr>
      <w:r>
        <w:rPr>
          <w:rFonts w:ascii="Calibri" w:hAnsi="Calibri" w:eastAsia="宋体" w:cs="Times New Roman"/>
          <w:b/>
          <w:bCs/>
          <w:color w:val="000000"/>
          <w:sz w:val="20"/>
          <w:szCs w:val="20"/>
        </w:rPr>
        <w:t>面向专业：</w:t>
      </w:r>
      <w:r>
        <w:rPr>
          <w:rFonts w:ascii="Calibri" w:hAnsi="Calibri" w:eastAsia="宋体" w:cs="Times New Roman"/>
          <w:color w:val="000000"/>
          <w:sz w:val="20"/>
          <w:szCs w:val="20"/>
        </w:rPr>
        <w:t>【</w:t>
      </w:r>
      <w:r>
        <w:rPr>
          <w:rFonts w:hint="eastAsia" w:ascii="Calibri" w:hAnsi="Calibri" w:eastAsia="宋体" w:cs="Times New Roman"/>
          <w:color w:val="000000"/>
          <w:sz w:val="20"/>
          <w:szCs w:val="20"/>
          <w:lang w:val="en-US" w:eastAsia="zh-CN"/>
        </w:rPr>
        <w:t>本科</w:t>
      </w:r>
      <w:r>
        <w:rPr>
          <w:rFonts w:ascii="Calibri" w:hAnsi="Calibri" w:eastAsia="宋体" w:cs="Times New Roman"/>
          <w:color w:val="000000"/>
          <w:sz w:val="20"/>
          <w:szCs w:val="20"/>
        </w:rPr>
        <w:t>日语</w:t>
      </w:r>
      <w:r>
        <w:rPr>
          <w:rFonts w:hint="eastAsia" w:ascii="Calibri" w:hAnsi="Calibri" w:eastAsia="MS Mincho" w:cs="Times New Roman"/>
          <w:color w:val="000000"/>
          <w:sz w:val="20"/>
          <w:szCs w:val="20"/>
          <w:lang w:val="en-US" w:eastAsia="ja-JP"/>
        </w:rPr>
        <w:t>、</w:t>
      </w:r>
      <w:r>
        <w:rPr>
          <w:rFonts w:hint="eastAsia" w:ascii="Calibri" w:hAnsi="Calibri" w:eastAsia="宋体" w:cs="Times New Roman"/>
          <w:color w:val="000000"/>
          <w:sz w:val="20"/>
          <w:szCs w:val="20"/>
          <w:lang w:val="en-US" w:eastAsia="zh-CN"/>
        </w:rPr>
        <w:t>网工</w:t>
      </w:r>
      <w:r>
        <w:rPr>
          <w:rFonts w:hint="eastAsia" w:ascii="Calibri" w:hAnsi="Calibri" w:eastAsia="MS Mincho" w:cs="Times New Roman"/>
          <w:color w:val="000000"/>
          <w:sz w:val="20"/>
          <w:szCs w:val="20"/>
          <w:lang w:val="en-US" w:eastAsia="ja-JP"/>
        </w:rPr>
        <w:t>、</w:t>
      </w:r>
      <w:r>
        <w:rPr>
          <w:rFonts w:hint="eastAsia" w:ascii="Calibri" w:hAnsi="Calibri" w:eastAsia="宋体" w:cs="Times New Roman"/>
          <w:color w:val="000000"/>
          <w:sz w:val="20"/>
          <w:szCs w:val="20"/>
          <w:lang w:val="en-US" w:eastAsia="zh-CN"/>
        </w:rPr>
        <w:t>数艺</w:t>
      </w:r>
      <w:r>
        <w:rPr>
          <w:rFonts w:ascii="Calibri" w:hAnsi="Calibri" w:eastAsia="宋体" w:cs="Times New Roman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rFonts w:ascii="Calibri" w:hAnsi="Calibri" w:eastAsia="宋体" w:cs="Times New Roman"/>
          <w:color w:val="000000"/>
          <w:sz w:val="20"/>
          <w:szCs w:val="20"/>
        </w:rPr>
      </w:pPr>
      <w:r>
        <w:rPr>
          <w:rFonts w:ascii="Calibri" w:hAnsi="Calibri" w:eastAsia="宋体" w:cs="Times New Roman"/>
          <w:b/>
          <w:bCs/>
          <w:color w:val="000000"/>
          <w:sz w:val="20"/>
          <w:szCs w:val="20"/>
        </w:rPr>
        <w:t>课程性质：</w:t>
      </w:r>
      <w:r>
        <w:rPr>
          <w:rFonts w:ascii="Calibri" w:hAnsi="Calibri" w:eastAsia="宋体" w:cs="Times New Roman"/>
          <w:color w:val="000000"/>
          <w:sz w:val="20"/>
          <w:szCs w:val="20"/>
        </w:rPr>
        <w:t>【</w:t>
      </w:r>
      <w:r>
        <w:rPr>
          <w:rFonts w:hint="eastAsia" w:ascii="Calibri" w:hAnsi="Calibri" w:eastAsia="宋体" w:cs="Times New Roman"/>
          <w:color w:val="000000"/>
          <w:sz w:val="20"/>
          <w:szCs w:val="20"/>
        </w:rPr>
        <w:t>专业限选课</w:t>
      </w:r>
      <w:r>
        <w:rPr>
          <w:rFonts w:ascii="Calibri" w:hAnsi="Calibri" w:eastAsia="宋体" w:cs="Times New Roman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rFonts w:hint="default" w:ascii="Calibri" w:hAnsi="Calibri" w:eastAsia="宋体" w:cs="Times New Roman"/>
          <w:b/>
          <w:bCs/>
          <w:color w:val="000000"/>
          <w:szCs w:val="21"/>
          <w:lang w:val="en-US" w:eastAsia="zh-CN"/>
        </w:rPr>
      </w:pPr>
      <w:r>
        <w:rPr>
          <w:rFonts w:ascii="Calibri" w:hAnsi="Calibri" w:eastAsia="宋体" w:cs="Times New Roman"/>
          <w:b/>
          <w:bCs/>
          <w:color w:val="000000"/>
          <w:sz w:val="20"/>
          <w:szCs w:val="20"/>
        </w:rPr>
        <w:t>开课院系：</w:t>
      </w:r>
      <w:r>
        <w:rPr>
          <w:rFonts w:hint="eastAsia" w:ascii="Calibri" w:hAnsi="Calibri" w:eastAsia="宋体" w:cs="Times New Roman"/>
          <w:color w:val="000000"/>
          <w:sz w:val="20"/>
          <w:szCs w:val="20"/>
        </w:rPr>
        <w:t>国际教育学院日语</w:t>
      </w:r>
      <w:r>
        <w:rPr>
          <w:rFonts w:hint="eastAsia" w:ascii="Calibri" w:hAnsi="Calibri" w:eastAsia="宋体" w:cs="Times New Roman"/>
          <w:color w:val="000000"/>
          <w:sz w:val="20"/>
          <w:szCs w:val="20"/>
          <w:lang w:val="en-US" w:eastAsia="zh-CN"/>
        </w:rPr>
        <w:t>教学中心</w:t>
      </w:r>
      <w:bookmarkStart w:id="1" w:name="_GoBack"/>
      <w:bookmarkEnd w:id="1"/>
    </w:p>
    <w:p>
      <w:pPr>
        <w:snapToGrid w:val="0"/>
        <w:spacing w:line="288" w:lineRule="auto"/>
        <w:ind w:firstLine="392" w:firstLineChars="196"/>
        <w:rPr>
          <w:rFonts w:ascii="Calibri" w:hAnsi="Calibri" w:eastAsia="宋体" w:cs="Times New Roman"/>
          <w:color w:val="000000"/>
          <w:sz w:val="20"/>
          <w:szCs w:val="20"/>
        </w:rPr>
      </w:pPr>
      <w:r>
        <w:rPr>
          <w:rFonts w:ascii="Calibri" w:hAnsi="Calibri" w:eastAsia="宋体" w:cs="Times New Roman"/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rFonts w:ascii="Calibri" w:hAnsi="Calibri" w:eastAsia="宋体" w:cs="Times New Roman"/>
          <w:color w:val="000000"/>
          <w:szCs w:val="21"/>
        </w:rPr>
      </w:pPr>
      <w:r>
        <w:rPr>
          <w:rFonts w:ascii="Calibri" w:hAnsi="Calibri" w:eastAsia="宋体" w:cs="Times New Roman"/>
          <w:color w:val="000000"/>
          <w:sz w:val="20"/>
          <w:szCs w:val="20"/>
        </w:rPr>
        <w:t>教材【</w:t>
      </w:r>
      <w:r>
        <w:rPr>
          <w:rFonts w:hint="eastAsia" w:ascii="Calibri" w:hAnsi="Calibri" w:eastAsia="宋体" w:cs="Times New Roman"/>
          <w:color w:val="000000"/>
          <w:sz w:val="20"/>
          <w:szCs w:val="20"/>
        </w:rPr>
        <w:t>《新经典日语本听力教程 第二册 第二版》，苏君业，外语教学与研究出版社，2019.11</w:t>
      </w:r>
      <w:r>
        <w:rPr>
          <w:rFonts w:ascii="Calibri" w:hAnsi="Calibri" w:eastAsia="宋体" w:cs="Times New Roman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rFonts w:ascii="Calibri" w:hAnsi="Calibri" w:eastAsia="宋体" w:cs="Times New Roman"/>
          <w:color w:val="000000"/>
          <w:sz w:val="20"/>
          <w:szCs w:val="20"/>
        </w:rPr>
      </w:pPr>
      <w:r>
        <w:rPr>
          <w:rFonts w:ascii="Calibri" w:hAnsi="Calibri" w:eastAsia="宋体" w:cs="Times New Roman"/>
          <w:color w:val="000000"/>
          <w:sz w:val="20"/>
          <w:szCs w:val="20"/>
        </w:rPr>
        <w:t>参考</w:t>
      </w:r>
      <w:r>
        <w:rPr>
          <w:rFonts w:hint="eastAsia" w:ascii="Calibri" w:hAnsi="Calibri" w:eastAsia="宋体" w:cs="Times New Roman"/>
          <w:color w:val="000000"/>
          <w:sz w:val="20"/>
          <w:szCs w:val="20"/>
        </w:rPr>
        <w:t>书目</w:t>
      </w:r>
      <w:r>
        <w:rPr>
          <w:rFonts w:ascii="Calibri" w:hAnsi="Calibri" w:eastAsia="宋体" w:cs="Times New Roman"/>
          <w:color w:val="000000"/>
          <w:sz w:val="20"/>
          <w:szCs w:val="20"/>
        </w:rPr>
        <w:t>【</w:t>
      </w:r>
      <w:r>
        <w:rPr>
          <w:rFonts w:hint="eastAsia" w:ascii="Calibri" w:hAnsi="Calibri" w:eastAsia="宋体" w:cs="Times New Roman"/>
          <w:color w:val="000000"/>
          <w:sz w:val="20"/>
          <w:szCs w:val="20"/>
        </w:rPr>
        <w:t>《新经典日语本听力教程 教师用书 第二册》，罗米良，外语教学与研究出版社，2019.11</w:t>
      </w:r>
      <w:r>
        <w:rPr>
          <w:rFonts w:ascii="Calibri" w:hAnsi="Calibri" w:eastAsia="宋体" w:cs="Times New Roman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rFonts w:ascii="Calibri" w:hAnsi="Calibri" w:eastAsia="宋体" w:cs="Times New Roman"/>
          <w:color w:val="000000"/>
          <w:sz w:val="20"/>
          <w:szCs w:val="20"/>
        </w:rPr>
      </w:pPr>
      <w:r>
        <w:rPr>
          <w:rFonts w:ascii="Calibri" w:hAnsi="Calibri" w:eastAsia="宋体" w:cs="Times New Roman"/>
          <w:color w:val="000000"/>
          <w:sz w:val="20"/>
          <w:szCs w:val="20"/>
        </w:rPr>
        <w:t>【</w:t>
      </w:r>
      <w:r>
        <w:rPr>
          <w:rFonts w:hint="eastAsia" w:ascii="Calibri" w:hAnsi="Calibri" w:eastAsia="宋体" w:cs="Times New Roman"/>
          <w:color w:val="000000"/>
          <w:sz w:val="20"/>
          <w:szCs w:val="20"/>
        </w:rPr>
        <w:t>《日本语听力 入门篇 第三版》，沙秀程，华东师范大学出版社，2016.1</w:t>
      </w:r>
      <w:r>
        <w:rPr>
          <w:rFonts w:ascii="Calibri" w:hAnsi="Calibri" w:eastAsia="宋体" w:cs="Times New Roman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rFonts w:ascii="Calibri" w:hAnsi="Calibri" w:eastAsia="宋体" w:cs="Times New Roman"/>
          <w:color w:val="000000"/>
          <w:sz w:val="20"/>
          <w:szCs w:val="20"/>
        </w:rPr>
      </w:pPr>
      <w:r>
        <w:rPr>
          <w:rFonts w:ascii="Calibri" w:hAnsi="Calibri" w:eastAsia="宋体" w:cs="Times New Roman"/>
          <w:color w:val="000000"/>
          <w:sz w:val="20"/>
          <w:szCs w:val="20"/>
        </w:rPr>
        <w:t>【</w:t>
      </w:r>
      <w:r>
        <w:rPr>
          <w:rFonts w:hint="eastAsia" w:ascii="Calibri" w:hAnsi="Calibri" w:eastAsia="宋体" w:cs="Times New Roman"/>
          <w:color w:val="000000"/>
          <w:sz w:val="20"/>
          <w:szCs w:val="20"/>
        </w:rPr>
        <w:t>《日语听力课堂(第2辑)》，徐萍飞、杨晓红，外语教学与研究出版社，2010.2</w:t>
      </w:r>
      <w:r>
        <w:rPr>
          <w:rFonts w:ascii="Calibri" w:hAnsi="Calibri" w:eastAsia="宋体" w:cs="Times New Roman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rFonts w:ascii="Calibri" w:hAnsi="Calibri" w:eastAsia="宋体" w:cs="Times New Roman"/>
          <w:b/>
          <w:bCs/>
          <w:color w:val="000000"/>
          <w:sz w:val="20"/>
          <w:szCs w:val="20"/>
        </w:rPr>
      </w:pPr>
      <w:r>
        <w:rPr>
          <w:rFonts w:hint="eastAsia" w:ascii="Calibri" w:hAnsi="Calibri" w:eastAsia="宋体" w:cs="Times New Roman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392" w:firstLineChars="196"/>
        <w:rPr>
          <w:rFonts w:ascii="Calibri" w:hAnsi="Calibri" w:eastAsia="宋体" w:cs="Times New Roman"/>
          <w:color w:val="000000"/>
          <w:sz w:val="20"/>
          <w:szCs w:val="20"/>
          <w:highlight w:val="yellow"/>
        </w:rPr>
      </w:pPr>
      <w:r>
        <w:rPr>
          <w:rFonts w:ascii="Calibri" w:hAnsi="Calibri" w:eastAsia="宋体" w:cs="Times New Roman"/>
          <w:color w:val="000000"/>
          <w:sz w:val="20"/>
          <w:szCs w:val="20"/>
        </w:rPr>
        <w:t>https://elearning.gench.edu.cn:8443/webapps/blackboard/execute/modulepage/view?course_id=_4631_1&amp;cmp_tab_id=_4911_1&amp;mode=view</w:t>
      </w:r>
    </w:p>
    <w:p>
      <w:pPr>
        <w:adjustRightInd w:val="0"/>
        <w:snapToGrid w:val="0"/>
        <w:spacing w:line="288" w:lineRule="auto"/>
        <w:ind w:firstLine="392" w:firstLineChars="196"/>
        <w:rPr>
          <w:rFonts w:ascii="Calibri" w:hAnsi="Calibri" w:eastAsia="宋体" w:cs="Times New Roman"/>
          <w:b/>
          <w:bCs/>
          <w:color w:val="000000"/>
          <w:sz w:val="20"/>
          <w:szCs w:val="20"/>
        </w:rPr>
      </w:pPr>
      <w:r>
        <w:rPr>
          <w:rFonts w:ascii="Calibri" w:hAnsi="Calibri" w:eastAsia="宋体" w:cs="Times New Roman"/>
          <w:b/>
          <w:bCs/>
          <w:color w:val="000000"/>
          <w:sz w:val="20"/>
          <w:szCs w:val="20"/>
        </w:rPr>
        <w:t>先修课程：</w:t>
      </w:r>
    </w:p>
    <w:p>
      <w:pPr>
        <w:adjustRightInd w:val="0"/>
        <w:snapToGrid w:val="0"/>
        <w:spacing w:line="288" w:lineRule="auto"/>
        <w:ind w:firstLine="392" w:firstLineChars="196"/>
        <w:rPr>
          <w:rFonts w:ascii="Calibri" w:hAnsi="Calibri" w:eastAsia="宋体" w:cs="Times New Roman"/>
          <w:color w:val="000000"/>
          <w:sz w:val="20"/>
          <w:szCs w:val="20"/>
        </w:rPr>
      </w:pPr>
      <w:r>
        <w:rPr>
          <w:rFonts w:ascii="Calibri" w:hAnsi="Calibri" w:eastAsia="宋体" w:cs="Times New Roman"/>
          <w:color w:val="000000"/>
          <w:sz w:val="20"/>
          <w:szCs w:val="20"/>
        </w:rPr>
        <w:t>【</w:t>
      </w:r>
      <w:r>
        <w:rPr>
          <w:rFonts w:hint="eastAsia" w:ascii="Calibri" w:hAnsi="Calibri" w:eastAsia="宋体" w:cs="Times New Roman"/>
          <w:color w:val="000000"/>
          <w:sz w:val="20"/>
          <w:szCs w:val="20"/>
        </w:rPr>
        <w:t>综合日语1、日语听力初级1</w:t>
      </w:r>
      <w:r>
        <w:rPr>
          <w:rFonts w:ascii="Calibri" w:hAnsi="Calibri" w:eastAsia="宋体" w:cs="Times New Roman"/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rFonts w:ascii="Calibri" w:hAnsi="Calibri" w:eastAsia="宋体" w:cs="Times New Roman"/>
          <w:b/>
          <w:color w:val="000000"/>
          <w:sz w:val="24"/>
          <w:szCs w:val="20"/>
        </w:rPr>
      </w:pPr>
      <w:r>
        <w:rPr>
          <w:rFonts w:ascii="黑体" w:hAnsi="宋体" w:eastAsia="黑体" w:cs="Times New Roman"/>
          <w:sz w:val="24"/>
        </w:rPr>
        <w:t>二</w:t>
      </w:r>
      <w:r>
        <w:rPr>
          <w:rFonts w:hint="eastAsia" w:ascii="黑体" w:hAnsi="宋体" w:eastAsia="黑体" w:cs="Times New Roman"/>
          <w:sz w:val="24"/>
        </w:rPr>
        <w:t>、</w:t>
      </w:r>
      <w:r>
        <w:rPr>
          <w:rFonts w:ascii="黑体" w:hAnsi="宋体" w:eastAsia="黑体" w:cs="Times New Roman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rFonts w:ascii="Calibri" w:hAnsi="Calibri" w:eastAsia="宋体" w:cs="Times New Roman"/>
          <w:color w:val="000000"/>
          <w:sz w:val="20"/>
          <w:szCs w:val="20"/>
        </w:rPr>
      </w:pPr>
      <w:r>
        <w:rPr>
          <w:rFonts w:ascii="Calibri" w:hAnsi="Calibri" w:eastAsia="宋体" w:cs="Times New Roman"/>
          <w:sz w:val="20"/>
          <w:szCs w:val="20"/>
        </w:rPr>
        <w:t>本课程是日语专业的</w:t>
      </w:r>
      <w:r>
        <w:rPr>
          <w:rFonts w:hint="eastAsia" w:ascii="Calibri" w:hAnsi="Calibri" w:eastAsia="宋体" w:cs="Times New Roman"/>
          <w:sz w:val="20"/>
          <w:szCs w:val="20"/>
        </w:rPr>
        <w:t>系级限选</w:t>
      </w:r>
      <w:r>
        <w:rPr>
          <w:rFonts w:ascii="Calibri" w:hAnsi="Calibri" w:eastAsia="宋体" w:cs="Times New Roman"/>
          <w:sz w:val="20"/>
          <w:szCs w:val="20"/>
        </w:rPr>
        <w:t>课，共</w:t>
      </w:r>
      <w:r>
        <w:rPr>
          <w:rFonts w:hint="eastAsia" w:ascii="Calibri" w:hAnsi="Calibri" w:eastAsia="宋体" w:cs="Times New Roman"/>
          <w:sz w:val="20"/>
          <w:szCs w:val="20"/>
        </w:rPr>
        <w:t>开设三</w:t>
      </w:r>
      <w:r>
        <w:rPr>
          <w:rFonts w:ascii="Calibri" w:hAnsi="Calibri" w:eastAsia="宋体" w:cs="Times New Roman"/>
          <w:sz w:val="20"/>
          <w:szCs w:val="20"/>
        </w:rPr>
        <w:t>个学期。</w:t>
      </w:r>
      <w:r>
        <w:rPr>
          <w:rFonts w:hint="eastAsia" w:ascii="Calibri" w:hAnsi="Calibri" w:eastAsia="宋体" w:cs="Times New Roman"/>
          <w:color w:val="000000"/>
          <w:sz w:val="20"/>
          <w:szCs w:val="20"/>
        </w:rPr>
        <w:t>日语听力（2）开设在第二学年第一学期，即二年级上。本课程课时数为32，且全部为实践课时，即独立实践课，共计2学分。</w:t>
      </w:r>
    </w:p>
    <w:p>
      <w:pPr>
        <w:adjustRightInd w:val="0"/>
        <w:snapToGrid w:val="0"/>
        <w:spacing w:line="300" w:lineRule="auto"/>
        <w:ind w:firstLine="400" w:firstLineChars="200"/>
        <w:rPr>
          <w:rFonts w:ascii="Calibri" w:hAnsi="Calibri" w:eastAsia="宋体" w:cs="Times New Roman"/>
          <w:color w:val="000000"/>
          <w:sz w:val="20"/>
          <w:szCs w:val="20"/>
        </w:rPr>
      </w:pPr>
      <w:r>
        <w:rPr>
          <w:rFonts w:hint="eastAsia" w:ascii="Calibri" w:hAnsi="Calibri" w:eastAsia="宋体" w:cs="Times New Roman"/>
          <w:color w:val="000000"/>
          <w:sz w:val="20"/>
          <w:szCs w:val="20"/>
        </w:rPr>
        <w:t>日语听力（2）以任务型专项训练模式为主，重点培养学生基础听解能力和语言运用能力。任务设计循序渐进，由简入繁、由易入难，选材真实生动、文化内涵丰富，涵盖社会、文化、经济、自然、科学、娱乐等诸多领域，即有实战性，又有趣味性。本课程通过大量会话、短文的听解，采用灵活多变的练习，侧重听说互动方式，提高学生的听力理解与表达能力，增强学生的日语交际能力。</w:t>
      </w:r>
    </w:p>
    <w:p>
      <w:pPr>
        <w:adjustRightInd w:val="0"/>
        <w:snapToGrid w:val="0"/>
        <w:spacing w:line="300" w:lineRule="auto"/>
        <w:ind w:firstLine="400" w:firstLineChars="200"/>
        <w:rPr>
          <w:rFonts w:ascii="Calibri" w:hAnsi="Calibri" w:eastAsia="宋体" w:cs="Times New Roman"/>
          <w:color w:val="000000"/>
          <w:sz w:val="20"/>
          <w:szCs w:val="20"/>
        </w:rPr>
      </w:pPr>
      <w:r>
        <w:rPr>
          <w:rFonts w:hint="eastAsia" w:ascii="Calibri" w:hAnsi="Calibri" w:eastAsia="宋体" w:cs="Times New Roman"/>
          <w:color w:val="000000"/>
          <w:sz w:val="20"/>
          <w:szCs w:val="20"/>
        </w:rPr>
        <w:t>因本课程的难度不能高于同阶段的基础日语课程的难度，因此日语听力（2）课程内容多为难度适中的短文和会话，短文和会话的时间长短控制在1分半钟内，难度相当于日语能力等级考试N3级水平，且题材多为学生熟悉的题材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="Times New Roman"/>
          <w:sz w:val="24"/>
        </w:rPr>
      </w:pPr>
      <w:r>
        <w:rPr>
          <w:rFonts w:ascii="黑体" w:hAnsi="宋体" w:eastAsia="黑体" w:cs="Times New Roman"/>
          <w:sz w:val="24"/>
        </w:rPr>
        <w:t>三</w:t>
      </w:r>
      <w:r>
        <w:rPr>
          <w:rFonts w:hint="eastAsia" w:ascii="黑体" w:hAnsi="宋体" w:eastAsia="黑体" w:cs="Times New Roman"/>
          <w:sz w:val="24"/>
        </w:rPr>
        <w:t>、</w:t>
      </w:r>
      <w:r>
        <w:rPr>
          <w:rFonts w:ascii="黑体" w:hAnsi="宋体" w:eastAsia="黑体" w:cs="Times New Roman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rFonts w:ascii="Calibri" w:hAnsi="Calibri" w:eastAsia="宋体" w:cs="Times New Roman"/>
          <w:color w:val="000000"/>
          <w:sz w:val="20"/>
          <w:szCs w:val="20"/>
        </w:rPr>
      </w:pPr>
      <w:r>
        <w:rPr>
          <w:rFonts w:hint="eastAsia" w:ascii="Calibri" w:hAnsi="Calibri" w:eastAsia="宋体" w:cs="Times New Roman"/>
          <w:color w:val="000000"/>
          <w:sz w:val="20"/>
          <w:szCs w:val="20"/>
        </w:rPr>
        <w:t>本课程在本科日语专业第三学期开设。与基础日语课程同步，训练日语听力能力，为后续课程打下基础。</w:t>
      </w:r>
    </w:p>
    <w:p>
      <w:pPr>
        <w:snapToGrid w:val="0"/>
        <w:spacing w:line="288" w:lineRule="auto"/>
        <w:ind w:firstLine="400" w:firstLineChars="200"/>
        <w:rPr>
          <w:rFonts w:ascii="Calibri" w:hAnsi="Calibri" w:eastAsia="宋体" w:cs="Times New Roman"/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="Times New Roman"/>
          <w:sz w:val="24"/>
        </w:rPr>
      </w:pPr>
      <w:r>
        <w:rPr>
          <w:rFonts w:ascii="黑体" w:hAnsi="宋体" w:eastAsia="黑体" w:cs="Times New Roman"/>
          <w:sz w:val="24"/>
        </w:rPr>
        <w:t>四</w:t>
      </w:r>
      <w:r>
        <w:rPr>
          <w:rFonts w:hint="eastAsia" w:ascii="黑体" w:hAnsi="宋体" w:eastAsia="黑体" w:cs="Times New Roman"/>
          <w:sz w:val="24"/>
        </w:rPr>
        <w:t>、</w:t>
      </w:r>
      <w:r>
        <w:rPr>
          <w:rFonts w:ascii="黑体" w:hAnsi="宋体" w:eastAsia="黑体" w:cs="Times New Roman"/>
          <w:sz w:val="24"/>
        </w:rPr>
        <w:t>课程与</w:t>
      </w:r>
      <w:r>
        <w:rPr>
          <w:rFonts w:hint="eastAsia" w:ascii="黑体" w:hAnsi="宋体" w:eastAsia="黑体" w:cs="Times New Roman"/>
          <w:sz w:val="24"/>
        </w:rPr>
        <w:t>专业毕业要求</w:t>
      </w:r>
      <w:r>
        <w:rPr>
          <w:rFonts w:ascii="黑体" w:hAnsi="宋体" w:eastAsia="黑体" w:cs="Times New Roman"/>
          <w:sz w:val="24"/>
        </w:rPr>
        <w:t>的关联性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12" w:type="dxa"/>
            <w:gridSpan w:val="2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专业毕业要求</w:t>
            </w:r>
          </w:p>
        </w:tc>
        <w:tc>
          <w:tcPr>
            <w:tcW w:w="618" w:type="dxa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1：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Times New Roman"/>
                <w:kern w:val="0"/>
                <w:szCs w:val="21"/>
              </w:rPr>
              <w:t>①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爱党爱国，坚决拥护党的领导，热爱祖国的大好河山、悠久历史、灿烂文化，自觉维护民族利益和国家尊严。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Times New Roman"/>
                <w:bCs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遵纪守法，增强法律意识，培养法律思维，自觉遵守法律法规、校纪校规。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Times New Roman"/>
                <w:kern w:val="0"/>
                <w:szCs w:val="21"/>
              </w:rPr>
              <w:t>③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Times New Roman"/>
                <w:kern w:val="0"/>
                <w:szCs w:val="21"/>
              </w:rPr>
              <w:t>④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诚信尽责，为人诚实，信守承诺，勤奋努力，精益求精，勇于担责。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rPr>
                <w:rFonts w:ascii="MS Mincho" w:hAnsi="MS Mincho" w:cs="Times New Roman"/>
                <w:bCs/>
                <w:kern w:val="0"/>
                <w:szCs w:val="21"/>
              </w:rPr>
            </w:pPr>
            <w:r>
              <w:rPr>
                <w:rFonts w:hint="eastAsia" w:ascii="MS Mincho" w:hAnsi="MS Mincho" w:eastAsia="MS Mincho" w:cs="Times New Roman"/>
                <w:kern w:val="0"/>
                <w:szCs w:val="21"/>
              </w:rPr>
              <w:t>⑤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MS Mincho" w:hAnsi="MS Mincho" w:eastAsia="MS Mincho" w:cs="宋体"/>
                <w:color w:val="000000"/>
                <w:kern w:val="0"/>
                <w:szCs w:val="21"/>
                <w:lang w:eastAsia="ja-JP"/>
              </w:rPr>
              <w:t>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cs="Times New Roman"/>
                <w:kern w:val="0"/>
                <w:szCs w:val="21"/>
              </w:rPr>
              <w:t>-</w:t>
            </w:r>
            <w:r>
              <w:rPr>
                <w:rFonts w:ascii="MS Mincho" w:hAnsi="MS Mincho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cs="Times New Roman"/>
                <w:kern w:val="0"/>
                <w:szCs w:val="21"/>
              </w:rPr>
              <w:t>-</w:t>
            </w:r>
            <w:r>
              <w:rPr>
                <w:rFonts w:ascii="MS Mincho" w:hAnsi="MS Mincho" w:cs="Times New Roman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掌握正确的发音，能够使用日语进行交流与表达。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cs="Times New Roman"/>
                <w:kern w:val="0"/>
                <w:szCs w:val="21"/>
              </w:rPr>
              <w:t>-</w:t>
            </w:r>
            <w:r>
              <w:rPr>
                <w:rFonts w:ascii="MS Mincho" w:hAnsi="MS Mincho" w:cs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cs="Times New Roman"/>
                <w:kern w:val="0"/>
                <w:szCs w:val="21"/>
              </w:rPr>
              <w:t>-</w:t>
            </w:r>
            <w:r>
              <w:rPr>
                <w:rFonts w:ascii="MS Mincho" w:hAnsi="MS Mincho" w:cs="Times New Roman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cs="Times New Roman"/>
                <w:kern w:val="0"/>
                <w:szCs w:val="21"/>
              </w:rPr>
              <w:t>-</w:t>
            </w:r>
            <w:r>
              <w:rPr>
                <w:rFonts w:ascii="MS Mincho" w:hAnsi="MS Mincho" w:cs="Times New Roman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2-</w:t>
            </w:r>
            <w:r>
              <w:rPr>
                <w:rFonts w:hint="eastAsia" w:ascii="仿宋" w:hAnsi="仿宋" w:eastAsia="MS Mincho" w:cs="宋体"/>
                <w:color w:val="000000"/>
                <w:kern w:val="0"/>
                <w:szCs w:val="21"/>
                <w:lang w:eastAsia="ja-JP"/>
              </w:rPr>
              <w:t>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-1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了解语言学的一般理论，以及语言学研究的发展与现状。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了解日本文学史上不同时期的重要作家及其代表作品。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-4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2-</w:t>
            </w:r>
            <w:r>
              <w:rPr>
                <w:rFonts w:hint="eastAsia" w:ascii="MS Mincho" w:hAnsi="MS Mincho" w:eastAsia="MS Mincho" w:cs="宋体"/>
                <w:color w:val="000000"/>
                <w:kern w:val="0"/>
                <w:szCs w:val="21"/>
                <w:lang w:eastAsia="ja-JP"/>
              </w:rPr>
              <w:t>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-1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了解日本文化、社会和风土人情，认识中日文化差异。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2-</w:t>
            </w:r>
            <w:r>
              <w:rPr>
                <w:rFonts w:hint="eastAsia" w:ascii="MS Mincho" w:hAnsi="MS Mincho" w:eastAsia="MS Mincho" w:cs="宋体"/>
                <w:color w:val="000000"/>
                <w:kern w:val="0"/>
                <w:szCs w:val="21"/>
                <w:lang w:eastAsia="ja-JP"/>
              </w:rPr>
              <w:t>④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-1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MS Mincho" w:cs="Times New Roman"/>
                <w:kern w:val="0"/>
                <w:szCs w:val="21"/>
              </w:rPr>
              <w:t>①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Times New Roman"/>
                <w:kern w:val="0"/>
                <w:szCs w:val="21"/>
              </w:rPr>
              <w:t>②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</w:t>
            </w:r>
            <w:r>
              <w:rPr>
                <w:rFonts w:hint="eastAsia" w:ascii="MS Mincho" w:hAnsi="MS Mincho" w:eastAsia="MS Mincho" w:cs="宋体"/>
                <w:color w:val="000000"/>
                <w:kern w:val="0"/>
                <w:szCs w:val="21"/>
                <w:lang w:eastAsia="ja-JP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Times New Roman"/>
                <w:bCs/>
                <w:kern w:val="0"/>
                <w:szCs w:val="21"/>
              </w:rPr>
              <w:t>①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Times New Roman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</w:t>
            </w:r>
            <w:r>
              <w:rPr>
                <w:rFonts w:hint="eastAsia" w:ascii="MS Mincho" w:hAnsi="MS Mincho" w:eastAsia="MS Mincho" w:cs="宋体"/>
                <w:color w:val="000000"/>
                <w:kern w:val="0"/>
                <w:szCs w:val="21"/>
                <w:lang w:eastAsia="ja-JP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Times New Roman"/>
                <w:kern w:val="0"/>
                <w:szCs w:val="21"/>
              </w:rPr>
              <w:t>①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身体健康，具有良好的卫生习惯，积极参加体育活动。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Times New Roman"/>
                <w:kern w:val="0"/>
                <w:szCs w:val="21"/>
              </w:rPr>
              <w:t>②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心理健康，学习和参与心理调适各项活动，耐挫折，能承受学习和生活中的压力。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Times New Roman"/>
                <w:kern w:val="0"/>
                <w:szCs w:val="21"/>
              </w:rPr>
              <w:t>③</w:t>
            </w:r>
            <w:r>
              <w:rPr>
                <w:bCs/>
              </w:rPr>
              <w:t>懂得审美，有发现美、感受美、鉴赏美、评价美、创造美的能力。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Times New Roman"/>
                <w:kern w:val="0"/>
                <w:szCs w:val="21"/>
              </w:rPr>
              <w:t>④</w:t>
            </w:r>
            <w:r>
              <w:rPr>
                <w:bCs/>
              </w:rPr>
              <w:t>热爱劳动，具有正确的劳动观念和态度，热爱劳动和劳动人民，养成劳动习惯。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Times New Roman"/>
                <w:kern w:val="0"/>
                <w:szCs w:val="21"/>
              </w:rPr>
              <w:t>⑤</w:t>
            </w:r>
            <w:r>
              <w:rPr>
                <w:bCs/>
              </w:rPr>
              <w:t>持续发展，具有爱护环境的意识，与自然和谐相处的环保理念与行动；具备终生学习的意识和能力。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</w:t>
            </w:r>
            <w:r>
              <w:rPr>
                <w:rFonts w:hint="eastAsia" w:ascii="MS Mincho" w:hAnsi="MS Mincho" w:eastAsia="MS Mincho" w:cs="宋体"/>
                <w:color w:val="000000"/>
                <w:kern w:val="0"/>
                <w:szCs w:val="21"/>
                <w:lang w:eastAsia="ja-JP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tabs>
                <w:tab w:val="left" w:pos="4200"/>
              </w:tabs>
              <w:rPr>
                <w:bCs/>
              </w:rPr>
            </w:pPr>
            <w:r>
              <w:rPr>
                <w:rFonts w:hint="eastAsia" w:ascii="MS Mincho" w:hAnsi="MS Mincho" w:eastAsia="MS Mincho"/>
                <w:bCs/>
              </w:rPr>
              <w:t>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Times New Roman"/>
                <w:kern w:val="0"/>
                <w:szCs w:val="21"/>
              </w:rPr>
              <w:t>②</w:t>
            </w:r>
            <w:r>
              <w:rPr>
                <w:bCs/>
              </w:rPr>
              <w:t>有质疑精神，能有逻辑的分析与批判。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tabs>
                <w:tab w:val="left" w:pos="4200"/>
              </w:tabs>
              <w:rPr>
                <w:bCs/>
              </w:rPr>
            </w:pPr>
            <w:r>
              <w:rPr>
                <w:rFonts w:hint="eastAsia" w:ascii="MS Mincho" w:hAnsi="MS Mincho" w:eastAsia="MS Mincho" w:cs="Times New Roman"/>
                <w:kern w:val="0"/>
                <w:szCs w:val="21"/>
              </w:rPr>
              <w:t>③</w:t>
            </w:r>
            <w:r>
              <w:rPr>
                <w:bCs/>
              </w:rPr>
              <w:t>能用创新的方法或者多种方法解决复杂问题或真实问题。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Times New Roman"/>
                <w:kern w:val="0"/>
                <w:szCs w:val="21"/>
              </w:rPr>
              <w:t>④</w:t>
            </w:r>
            <w:r>
              <w:rPr>
                <w:bCs/>
              </w:rPr>
              <w:t>了解行业前沿知识技术。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</w:t>
            </w:r>
            <w:r>
              <w:rPr>
                <w:rFonts w:hint="eastAsia" w:ascii="MS Mincho" w:hAnsi="MS Mincho" w:eastAsia="MS Mincho" w:cs="宋体"/>
                <w:color w:val="000000"/>
                <w:kern w:val="0"/>
                <w:szCs w:val="21"/>
                <w:lang w:eastAsia="ja-JP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Times New Roman"/>
                <w:kern w:val="0"/>
                <w:szCs w:val="21"/>
              </w:rPr>
              <w:t>①</w:t>
            </w:r>
            <w:r>
              <w:rPr>
                <w:bCs/>
              </w:rPr>
              <w:t>能够根据需要进行专业文献检索。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Times New Roman"/>
                <w:kern w:val="0"/>
                <w:szCs w:val="21"/>
              </w:rPr>
              <w:t>②</w:t>
            </w:r>
            <w:r>
              <w:rPr>
                <w:bCs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Times New Roman"/>
                <w:kern w:val="0"/>
                <w:szCs w:val="21"/>
              </w:rPr>
              <w:t>③</w:t>
            </w:r>
            <w:r>
              <w:rPr>
                <w:bCs/>
              </w:rPr>
              <w:t>熟练使用计算机，掌握常用办公软件。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仿宋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MS Mincho" w:hAnsi="MS Mincho" w:cs="宋体"/>
                <w:color w:val="000000"/>
                <w:kern w:val="0"/>
                <w:szCs w:val="21"/>
              </w:rPr>
              <w:t>L</w:t>
            </w:r>
            <w:r>
              <w:rPr>
                <w:rFonts w:ascii="MS Mincho" w:hAnsi="MS Mincho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MS Mincho" w:hAnsi="MS Mincho" w:cs="宋体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MS Mincho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MS Mincho" w:cs="Times New Roman"/>
                <w:kern w:val="0"/>
                <w:szCs w:val="21"/>
              </w:rPr>
              <w:t>①</w:t>
            </w:r>
            <w:r>
              <w:rPr>
                <w:bCs/>
              </w:rPr>
              <w:t>具备外语表达沟通能力，达到本专业的要求。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Times New Roman"/>
                <w:kern w:val="0"/>
                <w:szCs w:val="21"/>
              </w:rPr>
              <w:t>②</w:t>
            </w:r>
            <w:r>
              <w:rPr>
                <w:bCs/>
              </w:rPr>
              <w:t>理解其他国家历史文化，有跨文化交流能力。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Times New Roman"/>
                <w:kern w:val="0"/>
                <w:szCs w:val="21"/>
              </w:rPr>
              <w:t>③</w:t>
            </w:r>
            <w:r>
              <w:rPr>
                <w:bCs/>
              </w:rPr>
              <w:t>有国际竞争与合作意识。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>
      <w:pPr>
        <w:ind w:firstLine="420" w:firstLineChars="20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备注：LO=</w:t>
      </w:r>
      <w:r>
        <w:rPr>
          <w:rFonts w:ascii="Calibri" w:hAnsi="Calibri" w:eastAsia="宋体" w:cs="Times New Roman"/>
        </w:rPr>
        <w:t>learning outcomes</w:t>
      </w:r>
      <w:r>
        <w:rPr>
          <w:rFonts w:hint="eastAsia" w:ascii="Calibri" w:hAnsi="Calibri" w:eastAsia="宋体" w:cs="Times New Roman"/>
        </w:rPr>
        <w:t>（学习成果）</w:t>
      </w:r>
    </w:p>
    <w:p>
      <w:pPr>
        <w:rPr>
          <w:rFonts w:ascii="Calibri" w:hAnsi="Calibri" w:eastAsia="宋体" w:cs="Times New Roman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 w:cs="Times New Roman"/>
          <w:sz w:val="24"/>
        </w:rPr>
      </w:pPr>
      <w:r>
        <w:rPr>
          <w:rFonts w:hint="eastAsia" w:ascii="黑体" w:hAnsi="宋体" w:eastAsia="黑体" w:cs="Times New Roman"/>
          <w:sz w:val="24"/>
        </w:rPr>
        <w:t>五、</w:t>
      </w:r>
      <w:r>
        <w:rPr>
          <w:rFonts w:ascii="黑体" w:hAnsi="宋体" w:eastAsia="黑体" w:cs="Times New Roman"/>
          <w:sz w:val="24"/>
        </w:rPr>
        <w:t>课程</w:t>
      </w:r>
      <w:r>
        <w:rPr>
          <w:rFonts w:hint="eastAsia" w:ascii="黑体" w:hAnsi="宋体" w:eastAsia="黑体" w:cs="Times New Roman"/>
          <w:sz w:val="24"/>
        </w:rPr>
        <w:t>目标/课程预期学习成果</w:t>
      </w:r>
    </w:p>
    <w:tbl>
      <w:tblPr>
        <w:tblStyle w:val="6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Calibri" w:hAnsi="Calibri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Calibri" w:hAnsi="Calibri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rFonts w:ascii="Calibri" w:hAnsi="Calibri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rFonts w:ascii="Calibri" w:hAnsi="Calibri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Calibri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1"/>
              </w:rPr>
              <w:t>课堂上进行听力练习，让学生通过辨听回答相关问题。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Calibri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1"/>
              </w:rPr>
              <w:t>课堂提问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2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2470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ascii="Calibri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掌握正确的发音，能够使用日语进行交流与表达。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1"/>
              </w:rPr>
              <w:t>课堂上让学生互动问答、复述等方式进行听力和会话练习。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Calibri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1"/>
              </w:rPr>
              <w:t>课堂提问与课外扩展听力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LO31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Calibri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Calibri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1"/>
              </w:rPr>
              <w:t>运用听说结合的方式，让学生回答问题并进行小组讨论与交流。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Calibri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1"/>
              </w:rPr>
              <w:t>课堂讨论与课堂提问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LO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Calibri" w:hAnsi="Calibri" w:eastAsia="宋体" w:cs="Times New Roman"/>
                <w:color w:val="000000"/>
                <w:szCs w:val="21"/>
              </w:rPr>
            </w:pPr>
            <w:r>
              <w:rPr>
                <w:bCs/>
              </w:rPr>
              <w:t>能够使用适合的工具来搜集信息，并对信息加以分析、鉴别、判断与整合。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Calibri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1"/>
              </w:rPr>
              <w:t>列出关键词，在听解之前学生自学以及老师讲授一定的背景知识，加深理解。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Calibri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1"/>
              </w:rPr>
              <w:t>课堂讨论与课外扩展听力</w:t>
            </w:r>
          </w:p>
        </w:tc>
      </w:tr>
    </w:tbl>
    <w:p>
      <w:pPr>
        <w:spacing w:line="360" w:lineRule="auto"/>
        <w:ind w:firstLine="500" w:firstLineChars="250"/>
        <w:rPr>
          <w:rFonts w:ascii="Calibri" w:hAnsi="Calibri" w:eastAsia="宋体" w:cs="Times New Roman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Yu Mincho" w:cs="Times New Roman"/>
          <w:sz w:val="24"/>
          <w:lang w:eastAsia="ja-JP"/>
        </w:rPr>
      </w:pPr>
      <w:r>
        <w:rPr>
          <w:rFonts w:hint="eastAsia" w:ascii="黑体" w:hAnsi="宋体" w:eastAsia="黑体" w:cs="Times New Roman"/>
          <w:sz w:val="24"/>
          <w:lang w:eastAsia="ja-JP"/>
        </w:rPr>
        <w:t>六、</w:t>
      </w:r>
      <w:r>
        <w:rPr>
          <w:rFonts w:ascii="黑体" w:hAnsi="宋体" w:eastAsia="黑体" w:cs="Times New Roman"/>
          <w:sz w:val="24"/>
          <w:lang w:eastAsia="ja-JP"/>
        </w:rPr>
        <w:t>课程内容</w:t>
      </w:r>
    </w:p>
    <w:p>
      <w:pPr>
        <w:snapToGrid w:val="0"/>
        <w:spacing w:line="288" w:lineRule="auto"/>
        <w:ind w:firstLine="400" w:firstLineChars="200"/>
        <w:rPr>
          <w:rFonts w:ascii="Calibri" w:hAnsi="Calibri" w:eastAsia="宋体" w:cs="Times New Roman"/>
          <w:bCs/>
          <w:sz w:val="20"/>
          <w:szCs w:val="20"/>
        </w:rPr>
      </w:pPr>
      <w:r>
        <w:rPr>
          <w:rFonts w:hint="eastAsia" w:ascii="Calibri" w:hAnsi="Calibri" w:eastAsia="宋体" w:cs="Times New Roman"/>
          <w:bCs/>
          <w:sz w:val="20"/>
          <w:szCs w:val="20"/>
          <w:lang w:eastAsia="ja-JP"/>
        </w:rPr>
        <w:t>本学期内容共分为八个单元：</w:t>
      </w:r>
      <w:r>
        <w:rPr>
          <w:rFonts w:hint="eastAsia" w:ascii="MS Mincho" w:hAnsi="MS Mincho" w:eastAsia="MS Mincho" w:cs="Times New Roman"/>
          <w:bCs/>
          <w:sz w:val="20"/>
          <w:szCs w:val="20"/>
          <w:lang w:eastAsia="ja-JP"/>
        </w:rPr>
        <w:t>①願望</w:t>
      </w:r>
      <w:r>
        <w:rPr>
          <w:rFonts w:hint="eastAsia" w:ascii="MS Mincho" w:hAnsi="MS Mincho" w:eastAsia="MS Mincho" w:cs="微软雅黑"/>
          <w:bCs/>
          <w:sz w:val="20"/>
          <w:szCs w:val="20"/>
          <w:lang w:eastAsia="ja-JP"/>
        </w:rPr>
        <w:t>・</w:t>
      </w:r>
      <w:r>
        <w:rPr>
          <w:rFonts w:hint="eastAsia" w:ascii="MS Mincho" w:hAnsi="MS Mincho" w:eastAsia="MS Mincho" w:cs="Times New Roman"/>
          <w:bCs/>
          <w:sz w:val="20"/>
          <w:szCs w:val="20"/>
          <w:lang w:eastAsia="ja-JP"/>
        </w:rPr>
        <w:t>決定；②能力</w:t>
      </w:r>
      <w:r>
        <w:rPr>
          <w:rFonts w:hint="eastAsia" w:ascii="MS Mincho" w:hAnsi="MS Mincho" w:eastAsia="MS Mincho" w:cs="微软雅黑"/>
          <w:bCs/>
          <w:sz w:val="20"/>
          <w:szCs w:val="20"/>
          <w:lang w:eastAsia="ja-JP"/>
        </w:rPr>
        <w:t>・可能性；③変化④できごと（様子）⑤許可・禁止⑥目的・命令⑦やりもらい⑧モノの様子</w:t>
      </w:r>
      <w:r>
        <w:rPr>
          <w:rFonts w:hint="eastAsia" w:ascii="Calibri" w:hAnsi="Calibri" w:eastAsia="宋体" w:cs="Times New Roman"/>
          <w:bCs/>
          <w:sz w:val="20"/>
          <w:szCs w:val="20"/>
          <w:lang w:eastAsia="ja-JP"/>
        </w:rPr>
        <w:t>。</w:t>
      </w:r>
      <w:r>
        <w:rPr>
          <w:rFonts w:hint="eastAsia" w:ascii="Calibri" w:hAnsi="Calibri" w:eastAsia="宋体" w:cs="Times New Roman"/>
          <w:bCs/>
          <w:sz w:val="20"/>
          <w:szCs w:val="20"/>
        </w:rPr>
        <w:t>每周一课，共2学时。每课由</w:t>
      </w:r>
      <w:r>
        <w:rPr>
          <w:rFonts w:hint="eastAsia" w:ascii="MS Mincho" w:hAnsi="MS Mincho" w:eastAsia="宋体" w:cs="Times New Roman"/>
          <w:bCs/>
          <w:sz w:val="20"/>
          <w:szCs w:val="20"/>
        </w:rPr>
        <w:t>学习目标、课前预习、课堂教学和课后练习</w:t>
      </w:r>
      <w:r>
        <w:rPr>
          <w:rFonts w:hint="eastAsia" w:ascii="Calibri" w:hAnsi="Calibri" w:eastAsia="宋体" w:cs="Times New Roman"/>
          <w:bCs/>
          <w:sz w:val="20"/>
          <w:szCs w:val="20"/>
        </w:rPr>
        <w:t>组成。</w:t>
      </w:r>
    </w:p>
    <w:p>
      <w:pPr>
        <w:snapToGrid w:val="0"/>
        <w:spacing w:line="288" w:lineRule="auto"/>
        <w:ind w:firstLine="400" w:firstLineChars="200"/>
        <w:rPr>
          <w:rFonts w:ascii="Calibri" w:hAnsi="Calibri" w:eastAsia="宋体" w:cs="Times New Roman"/>
          <w:bCs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rFonts w:ascii="Calibri" w:hAnsi="Calibri" w:eastAsia="宋体" w:cs="Times New Roman"/>
          <w:bCs/>
          <w:sz w:val="20"/>
          <w:szCs w:val="20"/>
        </w:rPr>
      </w:pPr>
    </w:p>
    <w:tbl>
      <w:tblPr>
        <w:tblStyle w:val="6"/>
        <w:tblW w:w="83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246"/>
        <w:gridCol w:w="247"/>
        <w:gridCol w:w="2179"/>
        <w:gridCol w:w="2623"/>
        <w:gridCol w:w="2552"/>
      </w:tblGrid>
      <w:tr>
        <w:trPr>
          <w:trHeight w:val="233" w:hRule="atLeast"/>
          <w:tblHeader/>
          <w:jc w:val="center"/>
        </w:trPr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单元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21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知识</w:t>
            </w: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能力</w:t>
            </w: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2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教学难点</w:t>
            </w:r>
          </w:p>
        </w:tc>
      </w:tr>
      <w:tr>
        <w:trPr>
          <w:trHeight w:val="284" w:hRule="atLeast"/>
          <w:tblHeader/>
          <w:jc w:val="center"/>
        </w:trPr>
        <w:tc>
          <w:tcPr>
            <w:tcW w:w="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2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6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</w:tr>
      <w:tr>
        <w:trPr>
          <w:cantSplit/>
          <w:trHeight w:val="3039" w:hRule="atLeast"/>
          <w:jc w:val="center"/>
        </w:trPr>
        <w:tc>
          <w:tcPr>
            <w:tcW w:w="44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 w:eastAsia="宋体" w:cs="Times New Roman"/>
                <w:bCs/>
                <w:color w:val="000000"/>
                <w:sz w:val="22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①</w:t>
            </w:r>
            <w:r>
              <w:rPr>
                <w:rFonts w:hint="eastAsia" w:ascii="MS Mincho" w:hAnsi="MS Mincho" w:eastAsia="宋体" w:cs="Times New Roman"/>
                <w:bCs/>
                <w:color w:val="000000"/>
                <w:sz w:val="20"/>
                <w:szCs w:val="20"/>
                <w:lang w:eastAsia="ja-JP"/>
              </w:rPr>
              <w:t>听说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2"/>
                <w:lang w:eastAsia="ja-JP"/>
              </w:rPr>
              <w:t>任务（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2"/>
                <w:lang w:eastAsia="ja-JP"/>
              </w:rPr>
              <w:t>できごと</w:t>
            </w:r>
            <w:r>
              <w:rPr>
                <w:rFonts w:hint="eastAsia" w:ascii="MS Mincho" w:hAnsi="MS Mincho" w:eastAsia="宋体" w:cs="Times New Roman"/>
                <w:bCs/>
                <w:color w:val="000000"/>
                <w:sz w:val="22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2"/>
                <w:lang w:eastAsia="ja-JP"/>
              </w:rPr>
              <w:t>動作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MS Mincho" w:hAnsi="MS Mincho" w:eastAsia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宋体" w:cs="Times New Roman"/>
                <w:bCs/>
                <w:color w:val="000000"/>
                <w:sz w:val="20"/>
                <w:szCs w:val="20"/>
                <w:lang w:eastAsia="ja-JP"/>
              </w:rPr>
              <w:t>动词句相关听力训练</w:t>
            </w:r>
          </w:p>
          <w:p>
            <w:pPr>
              <w:snapToGrid w:val="0"/>
              <w:spacing w:line="288" w:lineRule="auto"/>
              <w:jc w:val="left"/>
              <w:rPr>
                <w:rFonts w:ascii="MS Mincho" w:hAnsi="MS Mincho" w:eastAsia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（9-1大学の図書館で勉強します；9-2京都へ行って紅葉を見ました）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263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能听懂日常生活中常用的动词；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能听懂动词句所涉及的行为（动作）；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听辨动词肯定句和否定句；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掌握听行为（动作）信息的技巧。</w:t>
            </w:r>
          </w:p>
        </w:tc>
        <w:tc>
          <w:tcPr>
            <w:tcW w:w="256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numPr>
                <w:ilvl w:val="0"/>
                <w:numId w:val="2"/>
              </w:num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能根据题面，预判出需要听取的内容，再认真听出相关的关键信息；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bCs/>
                <w:sz w:val="20"/>
                <w:szCs w:val="20"/>
              </w:rPr>
              <w:t>通过关键词了解背景知识</w:t>
            </w:r>
          </w:p>
        </w:tc>
      </w:tr>
      <w:tr>
        <w:trPr>
          <w:cantSplit/>
          <w:trHeight w:val="4324" w:hRule="atLeast"/>
          <w:jc w:val="center"/>
        </w:trPr>
        <w:tc>
          <w:tcPr>
            <w:tcW w:w="4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②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  <w:t>听说任务（</w:t>
            </w:r>
            <w:r>
              <w:rPr>
                <w:rFonts w:hint="eastAsia" w:ascii="宋体" w:hAnsi="宋体" w:eastAsia="MS Mincho" w:cs="Times New Roman"/>
                <w:bCs/>
                <w:color w:val="000000"/>
                <w:sz w:val="20"/>
                <w:szCs w:val="20"/>
                <w:lang w:eastAsia="ja-JP"/>
              </w:rPr>
              <w:t>もの・できごとの描写・評価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使用两个形容词、形容动词进行的描述或评价的听力训练。</w:t>
            </w:r>
          </w:p>
          <w:p>
            <w:pPr>
              <w:snapToGrid w:val="0"/>
              <w:spacing w:line="288" w:lineRule="auto"/>
              <w:jc w:val="left"/>
              <w:rPr>
                <w:rFonts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（1</w:t>
            </w:r>
            <w:r>
              <w:rPr>
                <w:rFonts w:hint="eastAsia" w:ascii="MS Mincho" w:hAnsi="MS Mincho" w:eastAsia="宋体" w:cs="Times New Roman"/>
                <w:bCs/>
                <w:color w:val="000000"/>
                <w:sz w:val="20"/>
                <w:szCs w:val="20"/>
                <w:lang w:eastAsia="ja-JP"/>
              </w:rPr>
              <w:t>0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-1昨日のはなみはどう；1</w:t>
            </w:r>
            <w:r>
              <w:rPr>
                <w:rFonts w:hint="eastAsia" w:ascii="MS Mincho" w:hAnsi="MS Mincho" w:eastAsia="宋体" w:cs="Times New Roman"/>
                <w:bCs/>
                <w:color w:val="000000"/>
                <w:sz w:val="20"/>
                <w:szCs w:val="20"/>
                <w:lang w:eastAsia="ja-JP"/>
              </w:rPr>
              <w:t>0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-2白く素敵な茶碗です）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等线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26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="等线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·重点掌握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对物体的形状和特点、行为的性质和特点进行的描述或评价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2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·掌握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形容词、形容动词的基本用法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·能用日语综合表达自己的观点、意见、想法。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rPr>
          <w:cantSplit/>
          <w:trHeight w:val="3410" w:hRule="atLeast"/>
          <w:jc w:val="center"/>
        </w:trPr>
        <w:tc>
          <w:tcPr>
            <w:tcW w:w="4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③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  <w:t>听说任务（人の描写・評価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对人的描写、评价的听力训练。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MS Mincho" w:hAnsi="MS Mincho" w:eastAsia="宋体" w:cs="Times New Roman"/>
                <w:bCs/>
                <w:color w:val="000000"/>
                <w:sz w:val="20"/>
                <w:szCs w:val="20"/>
                <w:lang w:eastAsia="ja-JP"/>
              </w:rPr>
              <w:t>11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-1この女の人は髪が長いです；11-2李先生はとても厳しいです。）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26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="等线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·能听懂对人物长相的描述或评价。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2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·听懂对着装、饰品的描述或评价。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·能听懂对人物性格、喜好的描述或评价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·能听懂表达个人见解、评价等的语句。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·掌握听人物描述、人物评价时的技巧。</w:t>
            </w:r>
          </w:p>
        </w:tc>
      </w:tr>
      <w:tr>
        <w:trPr>
          <w:cantSplit/>
          <w:trHeight w:val="2964" w:hRule="atLeast"/>
          <w:jc w:val="center"/>
        </w:trPr>
        <w:tc>
          <w:tcPr>
            <w:tcW w:w="4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④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听说任务（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比較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对人物、物体和行为进行的比较、能听懂比较对象和比较结果。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MS Mincho" w:hAnsi="MS Mincho" w:eastAsia="宋体" w:cs="Times New Roman"/>
                <w:bCs/>
                <w:color w:val="000000"/>
                <w:sz w:val="20"/>
                <w:szCs w:val="20"/>
                <w:lang w:eastAsia="ja-JP"/>
              </w:rPr>
              <w:t>12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-1東京スカイツリーのほうがずっと高いです；12-2一番よく売れている新聞は何ですか。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相关会话短文的听说</w:t>
            </w:r>
          </w:p>
        </w:tc>
        <w:tc>
          <w:tcPr>
            <w:tcW w:w="26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="等线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·重点掌握表示比较的形容词，形容动词几程度副词。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2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·掌握表示比较的肯定句和否定句。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·掌握听相关比较时的技巧。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rPr>
          <w:cantSplit/>
          <w:trHeight w:val="3039" w:hRule="atLeast"/>
          <w:jc w:val="center"/>
        </w:trPr>
        <w:tc>
          <w:tcPr>
            <w:tcW w:w="44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⑤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  <w:t>听说任务（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できごと（状態）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动作发生的场所、方式等。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MS Mincho" w:hAnsi="MS Mincho" w:eastAsia="宋体" w:cs="Times New Roman"/>
                <w:bCs/>
                <w:color w:val="000000"/>
                <w:sz w:val="20"/>
                <w:szCs w:val="20"/>
                <w:lang w:eastAsia="ja-JP"/>
              </w:rPr>
              <w:t>13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-1そこで何をしていますか；</w:t>
            </w:r>
            <w:r>
              <w:rPr>
                <w:rFonts w:hint="eastAsia" w:ascii="MS Mincho" w:hAnsi="MS Mincho" w:eastAsia="宋体" w:cs="Times New Roman"/>
                <w:bCs/>
                <w:color w:val="000000"/>
                <w:sz w:val="20"/>
                <w:szCs w:val="20"/>
                <w:lang w:eastAsia="ja-JP"/>
              </w:rPr>
              <w:t>13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-2どうやって行きますか）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263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·重点掌握有关移动方式和利用的交通工具等词语。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·能分析及辨别讲话人的态度和语气。</w:t>
            </w:r>
          </w:p>
          <w:p>
            <w:pPr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256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·掌握听行为的状态，动作发生的时间和地点的技巧。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rPr>
          <w:trHeight w:val="3088" w:hRule="atLeast"/>
          <w:jc w:val="center"/>
        </w:trPr>
        <w:tc>
          <w:tcPr>
            <w:tcW w:w="44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⑥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  <w:t>听说任务（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順序と指示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动作发生的顺序指示等。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MS Mincho" w:hAnsi="MS Mincho" w:eastAsia="宋体" w:cs="Times New Roman"/>
                <w:bCs/>
                <w:color w:val="000000"/>
                <w:sz w:val="20"/>
                <w:szCs w:val="20"/>
                <w:lang w:eastAsia="ja-JP"/>
              </w:rPr>
              <w:t>14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-1夕刊を読んでから食事をします；</w:t>
            </w:r>
            <w:r>
              <w:rPr>
                <w:rFonts w:hint="eastAsia" w:ascii="MS Mincho" w:hAnsi="MS Mincho" w:eastAsia="宋体" w:cs="Times New Roman"/>
                <w:bCs/>
                <w:color w:val="000000"/>
                <w:sz w:val="20"/>
                <w:szCs w:val="20"/>
                <w:lang w:eastAsia="ja-JP"/>
              </w:rPr>
              <w:t>14</w:t>
            </w: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  <w:lang w:eastAsia="ja-JP"/>
              </w:rPr>
              <w:t>-2山を描いてください）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263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="等线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·重点掌握动作指示和顺序的表达方式等相关听解内容。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</w:tc>
        <w:tc>
          <w:tcPr>
            <w:tcW w:w="256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·掌握听懂表示动作发生的顺序和知识的技巧。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rPr>
          <w:cantSplit/>
          <w:trHeight w:val="3039" w:hRule="atLeast"/>
          <w:jc w:val="center"/>
        </w:trPr>
        <w:tc>
          <w:tcPr>
            <w:tcW w:w="44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</w:rPr>
              <w:t>⑦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听说任务（</w:t>
            </w:r>
            <w:r>
              <w:rPr>
                <w:rFonts w:hint="eastAsia" w:ascii="MS Mincho" w:hAnsi="MS Mincho" w:eastAsia="宋体" w:cs="Times New Roman"/>
                <w:bCs/>
                <w:color w:val="000000"/>
                <w:sz w:val="20"/>
                <w:szCs w:val="20"/>
              </w:rPr>
              <w:t>综合练习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运用教材所学内容的相关内容的听说练习。</w:t>
            </w:r>
          </w:p>
        </w:tc>
        <w:tc>
          <w:tcPr>
            <w:tcW w:w="263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="等线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·综合运用听力训练所获得的能力进行练习。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·能用日语综合表达自己的观点、意见、想法。</w:t>
            </w:r>
          </w:p>
        </w:tc>
        <w:tc>
          <w:tcPr>
            <w:tcW w:w="256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="等线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·综合运用所掌握的听说能力完成练习。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rPr>
          <w:cantSplit/>
          <w:trHeight w:val="3039" w:hRule="atLeast"/>
          <w:jc w:val="center"/>
        </w:trPr>
        <w:tc>
          <w:tcPr>
            <w:tcW w:w="44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MS Mincho" w:hAnsi="MS Mincho" w:eastAsia="MS Mincho" w:cs="Times New Roman"/>
                <w:bCs/>
                <w:color w:val="000000"/>
                <w:sz w:val="20"/>
                <w:szCs w:val="20"/>
              </w:rPr>
              <w:t>⑧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听说任务（</w:t>
            </w:r>
            <w:r>
              <w:rPr>
                <w:rFonts w:hint="eastAsia" w:ascii="MS Mincho" w:hAnsi="MS Mincho" w:eastAsia="宋体" w:cs="Times New Roman"/>
                <w:bCs/>
                <w:color w:val="000000"/>
                <w:sz w:val="20"/>
                <w:szCs w:val="20"/>
              </w:rPr>
              <w:t>N5听力训练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N5水平听解考试专项训练</w:t>
            </w:r>
          </w:p>
        </w:tc>
        <w:tc>
          <w:tcPr>
            <w:tcW w:w="263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·具备通过N5水平听解考试的听力。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256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·通过N5水平听解考试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·能对比、理解课文中涉及的两国相关文化的差异。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 w:cs="Times New Roman"/>
          <w:sz w:val="24"/>
        </w:rPr>
      </w:pPr>
      <w:r>
        <w:rPr>
          <w:rFonts w:hint="eastAsia" w:ascii="黑体" w:hAnsi="宋体" w:eastAsia="黑体" w:cs="Times New Roman"/>
          <w:sz w:val="24"/>
        </w:rPr>
        <w:t>七、课内实验名称及基本要求</w:t>
      </w:r>
    </w:p>
    <w:tbl>
      <w:tblPr>
        <w:tblStyle w:val="6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45"/>
        <w:gridCol w:w="3827"/>
        <w:gridCol w:w="851"/>
        <w:gridCol w:w="99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实验名称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主要内容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时数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Calibri" w:eastAsia="宋体" w:cs="Times New Roman"/>
                <w:sz w:val="20"/>
                <w:szCs w:val="20"/>
              </w:rPr>
              <w:t>实验类型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视听说实践1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16"/>
                <w:szCs w:val="16"/>
              </w:rPr>
            </w:pPr>
            <w:r>
              <w:rPr>
                <w:rFonts w:hint="eastAsia" w:ascii="MS Mincho" w:hAnsi="MS Mincho" w:eastAsia="宋体" w:cs="Times New Roman"/>
                <w:bCs/>
                <w:color w:val="000000"/>
                <w:sz w:val="20"/>
                <w:szCs w:val="20"/>
                <w:lang w:eastAsia="ja-JP"/>
              </w:rPr>
              <w:t>动词句相关听力训练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MS Mincho" w:cs="Times New Roman"/>
                <w:sz w:val="16"/>
                <w:szCs w:val="16"/>
                <w:lang w:eastAsia="ja-JP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综合型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视听说实践2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使用两个形容词、形容动词进行的描述或评价的听力训练。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综合型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视听说实践3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对人的描写、评价的听力训练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综合型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视听说实践4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对人物、物体和行为进行的比较、能听懂比较对象和比较结果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综合型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视听说实践5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动作发生的场所、方式等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综合型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视听说实践6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动作发生的顺序指示等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综合型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视听说实践7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运用教材所学内容的相关内容的听说练习。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综合型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视听说实践8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0"/>
                <w:szCs w:val="20"/>
              </w:rPr>
              <w:t>N5水平听解考试专项训练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综合型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 w:eastAsia="宋体" w:cs="Times New Roman"/>
                <w:sz w:val="16"/>
                <w:szCs w:val="16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 w:cs="Times New Roman"/>
          <w:sz w:val="24"/>
        </w:rPr>
      </w:pPr>
    </w:p>
    <w:tbl>
      <w:tblPr>
        <w:tblStyle w:val="6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 w:eastAsia="宋体" w:cs="Times New Roman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2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/>
        <w:rPr>
          <w:rFonts w:ascii="Calibri" w:hAnsi="Calibri" w:eastAsia="宋体" w:cs="Times New Roman"/>
          <w:sz w:val="20"/>
          <w:szCs w:val="20"/>
        </w:rPr>
      </w:pPr>
      <w:r>
        <w:rPr>
          <w:rFonts w:hint="eastAsia" w:ascii="黑体" w:hAnsi="宋体" w:eastAsia="黑体" w:cs="Times New Roman"/>
          <w:sz w:val="24"/>
        </w:rPr>
        <w:t>八、评价方式与成绩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 w:eastAsia="宋体" w:cs="Times New Roman"/>
          <w:sz w:val="20"/>
          <w:szCs w:val="20"/>
          <w:highlight w:val="yellow"/>
        </w:rPr>
      </w:pPr>
    </w:p>
    <w:p>
      <w:pPr>
        <w:snapToGrid w:val="0"/>
        <w:spacing w:line="288" w:lineRule="auto"/>
        <w:ind w:firstLine="630" w:firstLineChars="30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撰写人：张达                      系主任审核签名：</w:t>
      </w:r>
      <w:r>
        <w:rPr>
          <w:rFonts w:ascii="Times New Roman" w:hAnsi="Times New Roman" w:eastAsia="宋体" w:cs="Times New Roman"/>
          <w:szCs w:val="21"/>
        </w:rPr>
        <w:drawing>
          <wp:inline distT="0" distB="0" distL="0" distR="0">
            <wp:extent cx="782320" cy="333375"/>
            <wp:effectExtent l="0" t="0" r="5715" b="127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2" cy="33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ind w:firstLine="4830" w:firstLineChars="2300"/>
        <w:rPr>
          <w:rFonts w:ascii="Calibri" w:hAnsi="Calibri" w:eastAsia="MS Mincho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审核时间：2023.9.1</w:t>
      </w:r>
    </w:p>
    <w:p>
      <w:pPr>
        <w:snapToGrid w:val="0"/>
        <w:spacing w:line="288" w:lineRule="auto"/>
        <w:ind w:firstLine="4830" w:firstLineChars="2300"/>
        <w:rPr>
          <w:rFonts w:ascii="Calibri" w:hAnsi="Calibri" w:eastAsia="MS Mincho" w:cs="Times New Roman"/>
          <w:szCs w:val="21"/>
        </w:rPr>
      </w:pPr>
    </w:p>
    <w:p>
      <w:pPr>
        <w:snapToGrid w:val="0"/>
        <w:spacing w:line="288" w:lineRule="auto"/>
        <w:ind w:firstLine="4830" w:firstLineChars="2300"/>
        <w:rPr>
          <w:rFonts w:ascii="Calibri" w:hAnsi="Calibri" w:eastAsia="MS Mincho" w:cs="Times New Roman"/>
          <w:szCs w:val="21"/>
        </w:rPr>
      </w:pPr>
    </w:p>
    <w:p>
      <w:pPr>
        <w:snapToGrid w:val="0"/>
        <w:spacing w:line="288" w:lineRule="auto"/>
        <w:ind w:firstLine="4830" w:firstLineChars="2300"/>
        <w:rPr>
          <w:rFonts w:ascii="Calibri" w:hAnsi="Calibri" w:eastAsia="MS Mincho" w:cs="Times New Roman"/>
          <w:szCs w:val="21"/>
        </w:rPr>
      </w:pPr>
    </w:p>
    <w:p>
      <w:pPr>
        <w:snapToGrid w:val="0"/>
        <w:spacing w:line="288" w:lineRule="auto"/>
        <w:ind w:firstLine="4830" w:firstLineChars="2300"/>
        <w:rPr>
          <w:rFonts w:ascii="Calibri" w:hAnsi="Calibri" w:cs="Times New Roman"/>
          <w:szCs w:val="21"/>
        </w:rPr>
      </w:pPr>
    </w:p>
    <w:p>
      <w:pPr>
        <w:snapToGrid w:val="0"/>
        <w:spacing w:line="288" w:lineRule="auto"/>
        <w:ind w:firstLine="4830" w:firstLineChars="2300"/>
        <w:rPr>
          <w:rFonts w:ascii="Calibri" w:hAnsi="Calibri" w:cs="Times New Roman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Yu Mincho">
    <w:altName w:val="Hiragino Sans"/>
    <w:panose1 w:val="00000000000000000000"/>
    <w:charset w:val="80"/>
    <w:family w:val="roman"/>
    <w:pitch w:val="default"/>
    <w:sig w:usb0="00000000" w:usb1="00000000" w:usb2="00000012" w:usb3="00000000" w:csb0="2002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25E15"/>
    <w:multiLevelType w:val="multilevel"/>
    <w:tmpl w:val="4DC25E15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C8812A5"/>
    <w:multiLevelType w:val="multilevel"/>
    <w:tmpl w:val="5C8812A5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ODE0YmVlNWU4MTljMmRjZGEwMzNlM2Y1ZTcyODAifQ=="/>
  </w:docVars>
  <w:rsids>
    <w:rsidRoot w:val="4FCF5B3E"/>
    <w:rsid w:val="005A6AA3"/>
    <w:rsid w:val="00D20B0D"/>
    <w:rsid w:val="4EB237AC"/>
    <w:rsid w:val="4FCF5B3E"/>
    <w:rsid w:val="5B330CAF"/>
    <w:rsid w:val="78637484"/>
    <w:rsid w:val="7FEE3921"/>
    <w:rsid w:val="7FFEF6BA"/>
    <w:rsid w:val="CF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823</Words>
  <Characters>4695</Characters>
  <Lines>39</Lines>
  <Paragraphs>11</Paragraphs>
  <TotalTime>0</TotalTime>
  <ScaleCrop>false</ScaleCrop>
  <LinksUpToDate>false</LinksUpToDate>
  <CharactersWithSpaces>5507</CharactersWithSpaces>
  <Application>WPS Office_6.1.0.8273_F1E327BC-269C-435d-A152-05C5408002CA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2023-09-01T20:04:00Z</dcterms:created>
  <dc:creator>张达</dc:creator>
  <cp:lastModifiedBy>AstheDew</cp:lastModifiedBy>
  <dcterms:modified xsi:type="dcterms:W3CDTF">2023-09-07T12:19:47Z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1033-6.1.0.8273</vt:lpwstr>
  </property>
  <property fmtid="{D5CDD505-2E9C-101B-9397-08002B2CF9AE}" pid="3" name="ICV">
    <vt:lpwstr>C55D4FB042104D71A9C8AA8FE7B747CF_11</vt:lpwstr>
  </property>
</Properties>
</file>