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jc w:val="center"/>
        <w:rPr>
          <w:b/>
          <w:bCs/>
          <w:sz w:val="28"/>
          <w:szCs w:val="28"/>
        </w:rPr>
      </w:pPr>
      <w:r>
        <w:rPr>
          <w:rFonts w:ascii="宋体" w:hAnsi="宋体" w:cs="宋体"/>
          <w:kern w:val="0"/>
          <w:sz w:val="40"/>
          <w:szCs w:val="40"/>
        </w:rPr>
        <w:t xml:space="preserve"> </w:t>
      </w:r>
      <w:r>
        <w:pict>
          <v:rect id="1026" o:spid="_x0000_s1026" o:spt="1"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2JsoNcAAAAI&#10;AQAADwAAAAAAAAABACAAAAAiAAAAZHJzL2Rvd25yZXYueG1sUEsBAhQAFAAAAAgAh07iQAWliger&#10;AQAAaQMAAA4AAAAAAAAAAQAgAAAAJgEAAGRycy9lMm9Eb2MueG1sUEsFBgAAAAAGAAYAWQEAAEMF&#10;AAAAAA==&#10;">
            <v:path/>
            <v:fill focussize="0,0"/>
            <v:stroke on="f"/>
            <v:imagedata o:title=""/>
            <o:lock v:ext="edit"/>
            <v:textbox>
              <w:txbxContent>
                <w:p>
                  <w:pPr>
                    <w:jc w:val="left"/>
                    <w:rPr>
                      <w:rFonts w:ascii="宋体"/>
                      <w:spacing w:val="20"/>
                      <w:sz w:val="24"/>
                      <w:szCs w:val="24"/>
                    </w:rPr>
                  </w:pPr>
                  <w:r>
                    <w:rPr>
                      <w:rFonts w:ascii="宋体" w:hAnsi="宋体" w:cs="宋体"/>
                      <w:spacing w:val="20"/>
                      <w:sz w:val="24"/>
                      <w:szCs w:val="24"/>
                    </w:rPr>
                    <w:t>SJQU-QR-JW-</w:t>
                  </w:r>
                  <w:r>
                    <w:rPr>
                      <w:rFonts w:ascii="宋体" w:cs="宋体"/>
                      <w:spacing w:val="20"/>
                      <w:sz w:val="24"/>
                      <w:szCs w:val="24"/>
                    </w:rPr>
                    <w:t>0</w:t>
                  </w:r>
                  <w:r>
                    <w:rPr>
                      <w:rFonts w:ascii="宋体" w:hAnsi="宋体" w:cs="宋体"/>
                      <w:spacing w:val="20"/>
                      <w:sz w:val="24"/>
                      <w:szCs w:val="24"/>
                    </w:rPr>
                    <w:t>33</w:t>
                  </w:r>
                  <w:r>
                    <w:rPr>
                      <w:rFonts w:hint="eastAsia" w:ascii="宋体" w:hAnsi="宋体" w:cs="宋体"/>
                      <w:spacing w:val="20"/>
                      <w:sz w:val="24"/>
                      <w:szCs w:val="24"/>
                    </w:rPr>
                    <w:t>（</w:t>
                  </w:r>
                  <w:r>
                    <w:rPr>
                      <w:rFonts w:ascii="宋体" w:hAnsi="宋体" w:cs="宋体"/>
                      <w:spacing w:val="20"/>
                      <w:sz w:val="24"/>
                      <w:szCs w:val="24"/>
                    </w:rPr>
                    <w:t>A</w:t>
                  </w:r>
                  <w:r>
                    <w:rPr>
                      <w:rFonts w:ascii="宋体" w:cs="宋体"/>
                      <w:spacing w:val="20"/>
                      <w:sz w:val="24"/>
                      <w:szCs w:val="24"/>
                    </w:rPr>
                    <w:t>0</w:t>
                  </w:r>
                  <w:r>
                    <w:rPr>
                      <w:rFonts w:hint="eastAsia" w:ascii="宋体" w:hAnsi="宋体" w:cs="宋体"/>
                      <w:spacing w:val="20"/>
                      <w:sz w:val="24"/>
                      <w:szCs w:val="24"/>
                    </w:rPr>
                    <w:t>）</w:t>
                  </w:r>
                </w:p>
              </w:txbxContent>
            </v:textbox>
          </v:rect>
        </w:pict>
      </w:r>
      <w:r>
        <w:rPr>
          <w:rFonts w:ascii="宋体" w:hAnsi="宋体" w:cs="宋体"/>
          <w:kern w:val="0"/>
          <w:sz w:val="40"/>
          <w:szCs w:val="40"/>
        </w:rPr>
        <w:t xml:space="preserve">      </w:t>
      </w:r>
      <w:r>
        <w:rPr>
          <w:rFonts w:hint="eastAsia" w:ascii="宋体" w:hAnsi="宋体" w:cs="宋体"/>
          <w:b/>
          <w:bCs/>
          <w:sz w:val="28"/>
          <w:szCs w:val="28"/>
        </w:rPr>
        <w:t>【日语视听】</w:t>
      </w:r>
    </w:p>
    <w:p>
      <w:pPr>
        <w:shd w:val="clear" w:color="auto" w:fill="F5F5F5"/>
        <w:ind w:left="840" w:firstLine="420"/>
        <w:jc w:val="center"/>
        <w:textAlignment w:val="top"/>
        <w:rPr>
          <w:rFonts w:ascii="Arial" w:hAnsi="Arial" w:cs="Arial"/>
          <w:kern w:val="0"/>
          <w:sz w:val="20"/>
          <w:szCs w:val="20"/>
        </w:rPr>
      </w:pPr>
      <w:r>
        <w:rPr>
          <w:rFonts w:hint="eastAsia" w:ascii="宋体" w:hAnsi="宋体" w:cs="宋体"/>
          <w:b/>
          <w:bCs/>
          <w:sz w:val="28"/>
          <w:szCs w:val="28"/>
        </w:rPr>
        <w:t>【</w:t>
      </w:r>
      <w:r>
        <w:rPr>
          <w:b/>
          <w:bCs/>
          <w:sz w:val="28"/>
          <w:szCs w:val="28"/>
        </w:rPr>
        <w:t>Japanese audio-visual</w:t>
      </w:r>
      <w:r>
        <w:rPr>
          <w:rFonts w:hint="eastAsia" w:ascii="宋体" w:hAnsi="宋体" w:cs="宋体"/>
          <w:b/>
          <w:bCs/>
          <w:sz w:val="28"/>
          <w:szCs w:val="28"/>
        </w:rPr>
        <w:t>】</w:t>
      </w:r>
    </w:p>
    <w:p>
      <w:pPr>
        <w:widowControl/>
        <w:spacing w:beforeLines="50" w:afterLines="50" w:line="288" w:lineRule="auto"/>
        <w:ind w:firstLine="360" w:firstLineChars="150"/>
        <w:jc w:val="left"/>
        <w:rPr>
          <w:rFonts w:ascii="黑体" w:hAnsi="宋体" w:eastAsia="黑体"/>
          <w:sz w:val="24"/>
          <w:szCs w:val="24"/>
        </w:rPr>
      </w:pPr>
      <w:r>
        <w:rPr>
          <w:rFonts w:hint="eastAsia" w:ascii="黑体" w:hAnsi="宋体" w:eastAsia="黑体" w:cs="黑体"/>
          <w:sz w:val="24"/>
          <w:szCs w:val="24"/>
        </w:rPr>
        <w:t>一、基本信息</w:t>
      </w:r>
    </w:p>
    <w:p>
      <w:pPr>
        <w:snapToGrid w:val="0"/>
        <w:spacing w:line="288" w:lineRule="auto"/>
        <w:ind w:firstLine="394" w:firstLineChars="196"/>
        <w:rPr>
          <w:rFonts w:ascii="Times New Roman" w:hAnsi="Times New Roman" w:cs="Times New Roman"/>
          <w:b/>
          <w:bCs/>
          <w:sz w:val="20"/>
          <w:szCs w:val="20"/>
        </w:rPr>
      </w:pPr>
      <w:r>
        <w:rPr>
          <w:rFonts w:hint="eastAsia" w:ascii="宋体" w:hAnsi="宋体" w:cs="宋体"/>
          <w:b/>
          <w:bCs/>
          <w:sz w:val="20"/>
          <w:szCs w:val="20"/>
        </w:rPr>
        <w:t>课程代码：【0020042】</w:t>
      </w:r>
    </w:p>
    <w:p>
      <w:pPr>
        <w:snapToGrid w:val="0"/>
        <w:spacing w:line="288" w:lineRule="auto"/>
        <w:ind w:firstLine="394" w:firstLineChars="196"/>
      </w:pPr>
      <w:r>
        <w:rPr>
          <w:rFonts w:hint="eastAsia" w:ascii="宋体" w:hAnsi="宋体" w:cs="宋体"/>
          <w:b/>
          <w:bCs/>
          <w:sz w:val="20"/>
          <w:szCs w:val="20"/>
        </w:rPr>
        <w:t>课程学分：</w:t>
      </w:r>
      <w:r>
        <w:rPr>
          <w:rFonts w:hint="eastAsia" w:ascii="宋体" w:hAnsi="宋体" w:cs="宋体"/>
          <w:sz w:val="20"/>
          <w:szCs w:val="20"/>
        </w:rPr>
        <w:t>【</w:t>
      </w:r>
      <w:r>
        <w:rPr>
          <w:sz w:val="20"/>
          <w:szCs w:val="20"/>
        </w:rPr>
        <w:t>2</w:t>
      </w:r>
      <w:r>
        <w:rPr>
          <w:rFonts w:hint="eastAsia" w:ascii="宋体" w:hAnsi="宋体" w:cs="宋体"/>
          <w:sz w:val="20"/>
          <w:szCs w:val="20"/>
        </w:rPr>
        <w:t>】</w:t>
      </w:r>
    </w:p>
    <w:p>
      <w:pPr>
        <w:snapToGrid w:val="0"/>
        <w:spacing w:line="288" w:lineRule="auto"/>
        <w:ind w:firstLine="394" w:firstLineChars="196"/>
      </w:pPr>
      <w:r>
        <w:rPr>
          <w:rFonts w:hint="eastAsia" w:ascii="宋体" w:hAnsi="宋体" w:cs="宋体"/>
          <w:b/>
          <w:bCs/>
          <w:sz w:val="20"/>
          <w:szCs w:val="20"/>
        </w:rPr>
        <w:t>面向专业：</w:t>
      </w:r>
      <w:r>
        <w:rPr>
          <w:rFonts w:hint="eastAsia" w:ascii="宋体" w:hAnsi="宋体" w:cs="宋体"/>
          <w:sz w:val="20"/>
          <w:szCs w:val="20"/>
        </w:rPr>
        <w:t>【商日专业】</w:t>
      </w:r>
    </w:p>
    <w:p>
      <w:pPr>
        <w:snapToGrid w:val="0"/>
        <w:spacing w:line="288" w:lineRule="auto"/>
        <w:ind w:firstLine="394" w:firstLineChars="196"/>
        <w:rPr>
          <w:sz w:val="20"/>
          <w:szCs w:val="20"/>
        </w:rPr>
      </w:pPr>
      <w:r>
        <w:rPr>
          <w:rFonts w:hint="eastAsia" w:ascii="宋体" w:hAnsi="宋体" w:cs="宋体"/>
          <w:b/>
          <w:bCs/>
          <w:sz w:val="20"/>
          <w:szCs w:val="20"/>
        </w:rPr>
        <w:t>课程性质：</w:t>
      </w:r>
      <w:r>
        <w:rPr>
          <w:rFonts w:hint="eastAsia" w:ascii="宋体" w:hAnsi="宋体" w:cs="宋体"/>
          <w:sz w:val="20"/>
          <w:szCs w:val="20"/>
        </w:rPr>
        <w:t>【专业限选课】</w:t>
      </w:r>
    </w:p>
    <w:p>
      <w:pPr>
        <w:snapToGrid w:val="0"/>
        <w:spacing w:line="288" w:lineRule="auto"/>
        <w:ind w:firstLine="394" w:firstLineChars="196"/>
        <w:rPr>
          <w:b/>
          <w:bCs/>
        </w:rPr>
      </w:pPr>
      <w:r>
        <w:rPr>
          <w:rFonts w:hint="eastAsia" w:ascii="宋体" w:hAnsi="宋体" w:cs="宋体"/>
          <w:b/>
          <w:bCs/>
          <w:sz w:val="20"/>
          <w:szCs w:val="20"/>
        </w:rPr>
        <w:t>开课院系：</w:t>
      </w:r>
      <w:r>
        <w:rPr>
          <w:rFonts w:hint="eastAsia" w:ascii="宋体" w:hAnsi="宋体" w:cs="宋体"/>
          <w:sz w:val="20"/>
          <w:szCs w:val="20"/>
        </w:rPr>
        <w:t>国际教育学院日语系</w:t>
      </w:r>
    </w:p>
    <w:p>
      <w:pPr>
        <w:snapToGrid w:val="0"/>
        <w:spacing w:line="288" w:lineRule="auto"/>
        <w:ind w:firstLine="394" w:firstLineChars="196"/>
        <w:rPr>
          <w:sz w:val="20"/>
          <w:szCs w:val="20"/>
        </w:rPr>
      </w:pPr>
      <w:r>
        <w:rPr>
          <w:rFonts w:hint="eastAsia" w:ascii="宋体" w:hAnsi="宋体" w:cs="宋体"/>
          <w:b/>
          <w:bCs/>
          <w:sz w:val="20"/>
          <w:szCs w:val="20"/>
        </w:rPr>
        <w:t>使用教材：</w:t>
      </w:r>
    </w:p>
    <w:p>
      <w:pPr>
        <w:snapToGrid w:val="0"/>
        <w:spacing w:line="288" w:lineRule="auto"/>
        <w:ind w:firstLine="787" w:firstLineChars="392"/>
      </w:pPr>
      <w:r>
        <w:rPr>
          <w:rFonts w:hint="eastAsia" w:ascii="宋体" w:hAnsi="宋体" w:cs="宋体"/>
          <w:b/>
          <w:bCs/>
          <w:sz w:val="20"/>
          <w:szCs w:val="20"/>
        </w:rPr>
        <w:t>教材</w:t>
      </w:r>
      <w:r>
        <w:rPr>
          <w:rFonts w:hint="eastAsia" w:ascii="宋体" w:hAnsi="宋体" w:cs="宋体"/>
          <w:sz w:val="20"/>
          <w:szCs w:val="20"/>
        </w:rPr>
        <w:t>【《日语语言学》，</w:t>
      </w:r>
      <w:r>
        <w:rPr>
          <w:rFonts w:hint="eastAsia" w:ascii="宋体" w:hAnsi="宋体" w:cs="宋体"/>
        </w:rPr>
        <w:t>刘潇滢等</w:t>
      </w:r>
      <w:r>
        <w:rPr>
          <w:rFonts w:hint="eastAsia" w:ascii="宋体" w:hAnsi="宋体" w:cs="宋体"/>
          <w:sz w:val="20"/>
          <w:szCs w:val="20"/>
        </w:rPr>
        <w:t>，</w:t>
      </w:r>
      <w:r>
        <w:rPr>
          <w:rFonts w:hint="eastAsia" w:ascii="宋体" w:hAnsi="宋体" w:cs="宋体"/>
        </w:rPr>
        <w:t>大连理工大学</w:t>
      </w:r>
      <w:r>
        <w:rPr>
          <w:rFonts w:hint="eastAsia" w:ascii="宋体" w:hAnsi="宋体" w:cs="宋体"/>
          <w:sz w:val="20"/>
          <w:szCs w:val="20"/>
        </w:rPr>
        <w:t>，</w:t>
      </w:r>
      <w:r>
        <w:rPr>
          <w:rFonts w:ascii="宋体" w:hAnsi="宋体" w:cs="宋体"/>
          <w:sz w:val="20"/>
          <w:szCs w:val="20"/>
        </w:rPr>
        <w:t>2021</w:t>
      </w:r>
      <w:r>
        <w:rPr>
          <w:rFonts w:hint="eastAsia" w:ascii="宋体" w:hAnsi="宋体" w:cs="宋体"/>
          <w:sz w:val="20"/>
          <w:szCs w:val="20"/>
        </w:rPr>
        <w:t>年】</w:t>
      </w:r>
      <w:r>
        <w:rPr>
          <w:sz w:val="20"/>
          <w:szCs w:val="20"/>
        </w:rPr>
        <w:t xml:space="preserve"> </w:t>
      </w:r>
    </w:p>
    <w:p>
      <w:pPr>
        <w:snapToGrid w:val="0"/>
        <w:spacing w:line="288" w:lineRule="auto"/>
        <w:ind w:firstLine="787" w:firstLineChars="392"/>
        <w:rPr>
          <w:sz w:val="20"/>
          <w:szCs w:val="20"/>
        </w:rPr>
      </w:pPr>
      <w:r>
        <w:rPr>
          <w:rFonts w:hint="eastAsia" w:ascii="宋体" w:hAnsi="宋体" w:cs="宋体"/>
          <w:b/>
          <w:bCs/>
          <w:sz w:val="20"/>
          <w:szCs w:val="20"/>
        </w:rPr>
        <w:t>参考书目【</w:t>
      </w:r>
      <w:r>
        <w:rPr>
          <w:rFonts w:hint="eastAsia" w:ascii="宋体" w:hAnsi="宋体" w:cs="宋体"/>
          <w:sz w:val="20"/>
          <w:szCs w:val="20"/>
        </w:rPr>
        <w:t>《</w:t>
      </w:r>
      <w:r>
        <w:rPr>
          <w:rFonts w:hint="eastAsia" w:ascii="宋体" w:hAnsi="宋体" w:cs="宋体"/>
        </w:rPr>
        <w:t>实用旅游日语视听说教程</w:t>
      </w:r>
      <w:r>
        <w:rPr>
          <w:rFonts w:hint="eastAsia" w:ascii="宋体" w:hAnsi="宋体" w:cs="宋体"/>
          <w:sz w:val="20"/>
          <w:szCs w:val="20"/>
        </w:rPr>
        <w:t>》，</w:t>
      </w:r>
      <w:r>
        <w:rPr>
          <w:rFonts w:hint="eastAsia" w:ascii="宋体" w:hAnsi="宋体" w:cs="宋体"/>
        </w:rPr>
        <w:t>王宝珍等</w:t>
      </w:r>
      <w:r>
        <w:rPr>
          <w:rFonts w:hint="eastAsia" w:ascii="宋体" w:hAnsi="宋体" w:cs="宋体"/>
          <w:sz w:val="20"/>
          <w:szCs w:val="20"/>
        </w:rPr>
        <w:t>，</w:t>
      </w:r>
      <w:r>
        <w:rPr>
          <w:rFonts w:hint="eastAsia" w:ascii="宋体" w:hAnsi="宋体" w:cs="宋体"/>
        </w:rPr>
        <w:t>旅游教育</w:t>
      </w:r>
      <w:r>
        <w:rPr>
          <w:rFonts w:hint="eastAsia" w:ascii="宋体" w:hAnsi="宋体" w:cs="宋体"/>
          <w:sz w:val="20"/>
          <w:szCs w:val="20"/>
        </w:rPr>
        <w:t>出版社，</w:t>
      </w:r>
      <w:r>
        <w:rPr>
          <w:rFonts w:ascii="宋体" w:hAnsi="宋体" w:cs="宋体"/>
          <w:sz w:val="20"/>
          <w:szCs w:val="20"/>
        </w:rPr>
        <w:t>2017</w:t>
      </w:r>
      <w:r>
        <w:rPr>
          <w:rFonts w:hint="eastAsia" w:ascii="宋体" w:hAnsi="宋体" w:cs="宋体"/>
          <w:sz w:val="20"/>
          <w:szCs w:val="20"/>
        </w:rPr>
        <w:t>年】</w:t>
      </w:r>
    </w:p>
    <w:p>
      <w:pPr>
        <w:snapToGrid w:val="0"/>
        <w:spacing w:line="288" w:lineRule="auto"/>
        <w:ind w:left="1260" w:leftChars="600" w:firstLine="201" w:firstLineChars="100"/>
        <w:rPr>
          <w:rFonts w:ascii="宋体"/>
          <w:sz w:val="20"/>
          <w:szCs w:val="20"/>
        </w:rPr>
      </w:pPr>
      <w:r>
        <w:rPr>
          <w:rFonts w:hint="eastAsia" w:ascii="宋体" w:hAnsi="宋体" w:cs="宋体"/>
          <w:b/>
          <w:bCs/>
          <w:sz w:val="20"/>
          <w:szCs w:val="20"/>
        </w:rPr>
        <w:t>【</w:t>
      </w:r>
      <w:r>
        <w:rPr>
          <w:rFonts w:hint="eastAsia" w:ascii="宋体" w:hAnsi="宋体" w:cs="宋体"/>
          <w:sz w:val="20"/>
          <w:szCs w:val="20"/>
        </w:rPr>
        <w:t>《</w:t>
      </w:r>
      <w:r>
        <w:rPr>
          <w:rFonts w:hint="eastAsia" w:ascii="宋体" w:hAnsi="宋体" w:cs="宋体"/>
        </w:rPr>
        <w:t>日语视听说</w:t>
      </w:r>
      <w:r>
        <w:rPr>
          <w:rFonts w:hint="eastAsia" w:ascii="宋体" w:hAnsi="宋体" w:cs="宋体"/>
          <w:sz w:val="20"/>
          <w:szCs w:val="20"/>
        </w:rPr>
        <w:t>》，</w:t>
      </w:r>
      <w:r>
        <w:rPr>
          <w:rFonts w:hint="eastAsia" w:ascii="宋体" w:hAnsi="宋体" w:cs="宋体"/>
        </w:rPr>
        <w:t>朱卫红</w:t>
      </w:r>
      <w:r>
        <w:rPr>
          <w:rFonts w:hint="eastAsia" w:ascii="宋体" w:hAnsi="宋体" w:cs="宋体"/>
          <w:sz w:val="20"/>
          <w:szCs w:val="20"/>
        </w:rPr>
        <w:t>，北京大学出版社，</w:t>
      </w:r>
      <w:r>
        <w:rPr>
          <w:rFonts w:ascii="宋体" w:hAnsi="宋体" w:cs="宋体"/>
          <w:sz w:val="20"/>
          <w:szCs w:val="20"/>
        </w:rPr>
        <w:t>2018</w:t>
      </w:r>
      <w:r>
        <w:rPr>
          <w:rFonts w:hint="eastAsia" w:ascii="宋体" w:hAnsi="宋体" w:cs="宋体"/>
          <w:sz w:val="20"/>
          <w:szCs w:val="20"/>
        </w:rPr>
        <w:t>年】</w:t>
      </w:r>
    </w:p>
    <w:p>
      <w:pPr>
        <w:snapToGrid w:val="0"/>
        <w:spacing w:line="288" w:lineRule="auto"/>
        <w:ind w:left="1260" w:leftChars="600" w:firstLine="201" w:firstLineChars="100"/>
        <w:rPr>
          <w:highlight w:val="yellow"/>
        </w:rPr>
      </w:pPr>
      <w:r>
        <w:rPr>
          <w:rFonts w:hint="eastAsia" w:ascii="宋体" w:hAnsi="宋体" w:cs="宋体"/>
          <w:b/>
          <w:bCs/>
          <w:sz w:val="20"/>
          <w:szCs w:val="20"/>
        </w:rPr>
        <w:t>【</w:t>
      </w:r>
      <w:r>
        <w:rPr>
          <w:rFonts w:hint="eastAsia" w:ascii="宋体" w:hAnsi="宋体" w:cs="宋体"/>
          <w:sz w:val="20"/>
          <w:szCs w:val="20"/>
        </w:rPr>
        <w:t>《</w:t>
      </w:r>
      <w:r>
        <w:rPr>
          <w:rFonts w:hint="eastAsia" w:ascii="宋体" w:hAnsi="宋体" w:cs="宋体"/>
        </w:rPr>
        <w:t>日语视听说教程</w:t>
      </w:r>
      <w:r>
        <w:rPr>
          <w:rFonts w:ascii="宋体" w:hAnsi="宋体" w:cs="宋体"/>
        </w:rPr>
        <w:t>1</w:t>
      </w:r>
      <w:r>
        <w:rPr>
          <w:rFonts w:hint="eastAsia" w:ascii="宋体" w:hAnsi="宋体" w:cs="宋体"/>
        </w:rPr>
        <w:t>（新版）</w:t>
      </w:r>
      <w:r>
        <w:rPr>
          <w:rFonts w:hint="eastAsia" w:ascii="宋体" w:hAnsi="宋体" w:cs="宋体"/>
          <w:sz w:val="20"/>
          <w:szCs w:val="20"/>
        </w:rPr>
        <w:t>》，</w:t>
      </w:r>
      <w:r>
        <w:rPr>
          <w:rFonts w:hint="eastAsia" w:ascii="宋体" w:hAnsi="宋体" w:cs="宋体"/>
        </w:rPr>
        <w:t>梁海燕</w:t>
      </w:r>
      <w:r>
        <w:rPr>
          <w:rFonts w:hint="eastAsia" w:ascii="宋体" w:hAnsi="宋体" w:cs="宋体"/>
          <w:sz w:val="20"/>
          <w:szCs w:val="20"/>
        </w:rPr>
        <w:t>，</w:t>
      </w:r>
      <w:r>
        <w:rPr>
          <w:rFonts w:hint="eastAsia" w:ascii="宋体" w:hAnsi="宋体" w:cs="宋体"/>
        </w:rPr>
        <w:t>上海交通大学</w:t>
      </w:r>
      <w:r>
        <w:rPr>
          <w:rFonts w:hint="eastAsia" w:ascii="宋体" w:hAnsi="宋体" w:cs="宋体"/>
          <w:sz w:val="20"/>
          <w:szCs w:val="20"/>
        </w:rPr>
        <w:t>出版社，</w:t>
      </w:r>
      <w:r>
        <w:rPr>
          <w:rFonts w:ascii="宋体" w:hAnsi="宋体" w:cs="宋体"/>
          <w:sz w:val="20"/>
          <w:szCs w:val="20"/>
        </w:rPr>
        <w:t>2020</w:t>
      </w:r>
      <w:r>
        <w:rPr>
          <w:rFonts w:hint="eastAsia" w:ascii="宋体" w:hAnsi="宋体" w:cs="宋体"/>
          <w:sz w:val="20"/>
          <w:szCs w:val="20"/>
        </w:rPr>
        <w:t>年】</w:t>
      </w:r>
    </w:p>
    <w:p>
      <w:pPr>
        <w:snapToGrid w:val="0"/>
        <w:spacing w:line="288" w:lineRule="auto"/>
        <w:ind w:firstLine="394" w:firstLineChars="196"/>
        <w:rPr>
          <w:rFonts w:ascii="宋体" w:hAnsi="宋体" w:cs="宋体"/>
          <w:b/>
          <w:bCs/>
          <w:sz w:val="20"/>
          <w:szCs w:val="20"/>
        </w:rPr>
      </w:pPr>
      <w:r>
        <w:rPr>
          <w:rFonts w:hint="eastAsia" w:ascii="宋体" w:hAnsi="宋体" w:cs="宋体"/>
          <w:b/>
          <w:bCs/>
          <w:sz w:val="20"/>
          <w:szCs w:val="20"/>
        </w:rPr>
        <w:t>课程网站网址：</w:t>
      </w:r>
    </w:p>
    <w:p>
      <w:pPr>
        <w:adjustRightInd w:val="0"/>
        <w:snapToGrid w:val="0"/>
        <w:spacing w:line="288" w:lineRule="auto"/>
        <w:ind w:firstLine="392" w:firstLineChars="196"/>
        <w:rPr>
          <w:rFonts w:ascii="宋体" w:hAnsi="宋体"/>
          <w:sz w:val="20"/>
          <w:szCs w:val="20"/>
        </w:rPr>
      </w:pPr>
      <w:r>
        <w:rPr>
          <w:rFonts w:hint="eastAsia" w:ascii="宋体" w:hAnsi="宋体"/>
          <w:sz w:val="20"/>
          <w:szCs w:val="20"/>
        </w:rPr>
        <w:t>https://elearning.gench.edu.cn:8443/webapps/portal/execute/tabs/tabAction?tab_tab_group_id=_1_1</w:t>
      </w:r>
    </w:p>
    <w:p>
      <w:pPr>
        <w:adjustRightInd w:val="0"/>
        <w:snapToGrid w:val="0"/>
        <w:spacing w:line="288" w:lineRule="auto"/>
        <w:ind w:firstLine="394" w:firstLineChars="196"/>
        <w:rPr>
          <w:sz w:val="20"/>
          <w:szCs w:val="20"/>
        </w:rPr>
      </w:pPr>
      <w:r>
        <w:rPr>
          <w:rFonts w:hint="eastAsia" w:ascii="宋体" w:hAnsi="宋体" w:cs="宋体"/>
          <w:b/>
          <w:bCs/>
          <w:sz w:val="20"/>
          <w:szCs w:val="20"/>
        </w:rPr>
        <w:t>先修课程：【</w:t>
      </w:r>
      <w:r>
        <w:rPr>
          <w:rFonts w:hint="eastAsia" w:ascii="宋体" w:hAnsi="宋体"/>
          <w:sz w:val="20"/>
          <w:szCs w:val="20"/>
        </w:rPr>
        <w:t>基础日语(4)0020014(10)；日语听力（3）0020046（2）</w:t>
      </w:r>
      <w:r>
        <w:rPr>
          <w:rFonts w:hint="eastAsia" w:ascii="宋体" w:hAnsi="宋体" w:cs="宋体"/>
          <w:sz w:val="20"/>
          <w:szCs w:val="20"/>
        </w:rPr>
        <w:t>】</w:t>
      </w:r>
    </w:p>
    <w:p>
      <w:pPr>
        <w:widowControl/>
        <w:spacing w:beforeLines="50" w:afterLines="50" w:line="288" w:lineRule="auto"/>
        <w:ind w:firstLine="360" w:firstLineChars="150"/>
        <w:jc w:val="left"/>
        <w:rPr>
          <w:rFonts w:ascii="黑体" w:hAnsi="宋体" w:eastAsia="黑体"/>
          <w:sz w:val="24"/>
          <w:szCs w:val="24"/>
        </w:rPr>
      </w:pPr>
      <w:r>
        <w:rPr>
          <w:rFonts w:hint="eastAsia" w:ascii="黑体" w:hAnsi="宋体" w:eastAsia="黑体" w:cs="黑体"/>
          <w:sz w:val="24"/>
          <w:szCs w:val="24"/>
        </w:rPr>
        <w:t>二、课程简介</w:t>
      </w:r>
    </w:p>
    <w:p>
      <w:pPr>
        <w:snapToGrid w:val="0"/>
        <w:spacing w:line="288" w:lineRule="auto"/>
        <w:ind w:firstLine="400" w:firstLineChars="200"/>
        <w:rPr>
          <w:sz w:val="20"/>
          <w:szCs w:val="20"/>
        </w:rPr>
      </w:pPr>
      <w:r>
        <w:rPr>
          <w:rFonts w:hint="eastAsia" w:cs="宋体"/>
          <w:sz w:val="20"/>
          <w:szCs w:val="20"/>
        </w:rPr>
        <w:t>日语视听说作为日语专业选修课之一，在设置中通常为高年级专业课程。本课程教材由</w:t>
      </w:r>
      <w:r>
        <w:rPr>
          <w:sz w:val="20"/>
          <w:szCs w:val="20"/>
        </w:rPr>
        <w:t>15</w:t>
      </w:r>
      <w:r>
        <w:rPr>
          <w:rFonts w:hint="eastAsia" w:cs="宋体"/>
          <w:sz w:val="20"/>
          <w:szCs w:val="20"/>
        </w:rPr>
        <w:t>课组成，每课由内容简介、语法解说、练习、单词表以及文化知识组成，体现出内容充实知识点丰富，能通过学用结合形式，加深理解运用所学知识。其中，</w:t>
      </w:r>
      <w:r>
        <w:rPr>
          <w:rFonts w:cs="宋体"/>
          <w:sz w:val="20"/>
          <w:szCs w:val="20"/>
        </w:rPr>
        <w:t>每课</w:t>
      </w:r>
      <w:r>
        <w:rPr>
          <w:rFonts w:hint="eastAsia" w:cs="宋体"/>
          <w:sz w:val="20"/>
          <w:szCs w:val="20"/>
        </w:rPr>
        <w:t>第一</w:t>
      </w:r>
      <w:r>
        <w:rPr>
          <w:rFonts w:cs="宋体"/>
          <w:sz w:val="20"/>
          <w:szCs w:val="20"/>
        </w:rPr>
        <w:t>块简单介绍故事情节和语法点，</w:t>
      </w:r>
      <w:r>
        <w:rPr>
          <w:rFonts w:hint="eastAsia" w:cs="宋体"/>
          <w:sz w:val="20"/>
          <w:szCs w:val="20"/>
        </w:rPr>
        <w:t>第</w:t>
      </w:r>
      <w:r>
        <w:rPr>
          <w:rFonts w:cs="宋体"/>
          <w:sz w:val="20"/>
          <w:szCs w:val="20"/>
        </w:rPr>
        <w:t>二块为内容理解解答，第三块也是相同形式，只是内容有所变化，主要是内容简介的延伸，显著特点是口语化很强。第四块仍是视听解答，即根据视听内容回答问题，但是主要是书面语内容，第五块是单词表与文化知识。</w:t>
      </w:r>
      <w:r>
        <w:rPr>
          <w:rFonts w:hint="eastAsia" w:cs="宋体"/>
          <w:sz w:val="20"/>
          <w:szCs w:val="20"/>
        </w:rPr>
        <w:t>本教材内容涉及词汇面广，涵盖了日语</w:t>
      </w:r>
      <w:r>
        <w:rPr>
          <w:rFonts w:cs="宋体"/>
          <w:sz w:val="20"/>
          <w:szCs w:val="20"/>
        </w:rPr>
        <w:t>视听说</w:t>
      </w:r>
      <w:r>
        <w:rPr>
          <w:rFonts w:hint="eastAsia" w:cs="宋体"/>
          <w:sz w:val="20"/>
          <w:szCs w:val="20"/>
        </w:rPr>
        <w:t>的基本内容。作为本科生高年级选修教材使用时，必须在充分理解的基础上，强调提高</w:t>
      </w:r>
      <w:r>
        <w:rPr>
          <w:rFonts w:cs="宋体"/>
          <w:sz w:val="20"/>
          <w:szCs w:val="20"/>
        </w:rPr>
        <w:t>表达能力</w:t>
      </w:r>
      <w:r>
        <w:rPr>
          <w:rFonts w:hint="eastAsia" w:cs="宋体"/>
          <w:sz w:val="20"/>
          <w:szCs w:val="20"/>
        </w:rPr>
        <w:t>的重要性。因此作为本课程教学的基本目标，主要是</w:t>
      </w:r>
      <w:r>
        <w:rPr>
          <w:rFonts w:cs="宋体"/>
          <w:sz w:val="20"/>
          <w:szCs w:val="20"/>
        </w:rPr>
        <w:t>第二第三第四块</w:t>
      </w:r>
      <w:r>
        <w:rPr>
          <w:rFonts w:hint="eastAsia" w:cs="宋体"/>
          <w:sz w:val="20"/>
          <w:szCs w:val="20"/>
        </w:rPr>
        <w:t>的内容，</w:t>
      </w:r>
      <w:r>
        <w:rPr>
          <w:rFonts w:cs="宋体"/>
          <w:sz w:val="20"/>
          <w:szCs w:val="20"/>
        </w:rPr>
        <w:t>文化知识介绍</w:t>
      </w:r>
      <w:r>
        <w:rPr>
          <w:rFonts w:hint="eastAsia" w:cs="宋体"/>
          <w:sz w:val="20"/>
          <w:szCs w:val="20"/>
        </w:rPr>
        <w:t>作为附加内容，建议学生自学扩大知识面。本课程通过日语</w:t>
      </w:r>
      <w:r>
        <w:rPr>
          <w:rFonts w:cs="宋体"/>
          <w:sz w:val="20"/>
          <w:szCs w:val="20"/>
        </w:rPr>
        <w:t>视听说</w:t>
      </w:r>
      <w:r>
        <w:rPr>
          <w:rFonts w:hint="eastAsia" w:cs="宋体"/>
          <w:sz w:val="20"/>
          <w:szCs w:val="20"/>
        </w:rPr>
        <w:t>的教学讲授，并结合第二课堂的预习与复习，要求学生通过本课程的学习考核，</w:t>
      </w:r>
      <w:r>
        <w:rPr>
          <w:rFonts w:cs="宋体"/>
          <w:sz w:val="20"/>
          <w:szCs w:val="20"/>
        </w:rPr>
        <w:t>通过视听基本理解所学内容</w:t>
      </w:r>
      <w:r>
        <w:rPr>
          <w:rFonts w:hint="eastAsia" w:cs="宋体"/>
          <w:sz w:val="20"/>
          <w:szCs w:val="20"/>
        </w:rPr>
        <w:t>，</w:t>
      </w:r>
      <w:r>
        <w:rPr>
          <w:rFonts w:cs="宋体"/>
          <w:sz w:val="20"/>
          <w:szCs w:val="20"/>
        </w:rPr>
        <w:t>并能进行主要内容的口头归纳，回答教材中的相关问题，</w:t>
      </w:r>
      <w:r>
        <w:rPr>
          <w:rFonts w:hint="eastAsia" w:cs="宋体"/>
          <w:sz w:val="20"/>
          <w:szCs w:val="20"/>
        </w:rPr>
        <w:t>加深了解一些较难的专业知识，并且能够利用所学的</w:t>
      </w:r>
      <w:r>
        <w:rPr>
          <w:rFonts w:cs="宋体"/>
          <w:sz w:val="20"/>
          <w:szCs w:val="20"/>
        </w:rPr>
        <w:t>知识，</w:t>
      </w:r>
      <w:r>
        <w:rPr>
          <w:rFonts w:hint="eastAsia" w:cs="宋体"/>
          <w:sz w:val="20"/>
          <w:szCs w:val="20"/>
        </w:rPr>
        <w:t>提高日语的</w:t>
      </w:r>
      <w:r>
        <w:rPr>
          <w:rFonts w:cs="宋体"/>
          <w:sz w:val="20"/>
          <w:szCs w:val="20"/>
        </w:rPr>
        <w:t>口头</w:t>
      </w:r>
      <w:r>
        <w:rPr>
          <w:rFonts w:hint="eastAsia" w:cs="宋体"/>
          <w:sz w:val="20"/>
          <w:szCs w:val="20"/>
        </w:rPr>
        <w:t>理解运用能力，为今后学习高级日语语言知识，为顺利通过各类日语等级考试，</w:t>
      </w:r>
      <w:r>
        <w:rPr>
          <w:rFonts w:cs="宋体"/>
          <w:sz w:val="20"/>
          <w:szCs w:val="20"/>
        </w:rPr>
        <w:t>打下基础并创造积极的有利条件</w:t>
      </w:r>
      <w:r>
        <w:rPr>
          <w:rFonts w:hint="eastAsia" w:cs="宋体"/>
          <w:sz w:val="20"/>
          <w:szCs w:val="20"/>
        </w:rPr>
        <w:t>。</w:t>
      </w:r>
    </w:p>
    <w:p>
      <w:pPr>
        <w:widowControl/>
        <w:spacing w:beforeLines="50" w:afterLines="50" w:line="288" w:lineRule="auto"/>
        <w:ind w:firstLine="360" w:firstLineChars="150"/>
        <w:jc w:val="left"/>
        <w:rPr>
          <w:rFonts w:ascii="黑体" w:hAnsi="宋体" w:eastAsia="黑体"/>
          <w:sz w:val="24"/>
          <w:szCs w:val="24"/>
        </w:rPr>
      </w:pPr>
      <w:r>
        <w:rPr>
          <w:rFonts w:hint="eastAsia" w:ascii="黑体" w:hAnsi="宋体" w:eastAsia="黑体" w:cs="黑体"/>
          <w:sz w:val="24"/>
          <w:szCs w:val="24"/>
        </w:rPr>
        <w:t>三、选课建议</w:t>
      </w:r>
    </w:p>
    <w:p>
      <w:pPr>
        <w:snapToGrid w:val="0"/>
        <w:spacing w:line="288" w:lineRule="auto"/>
        <w:ind w:firstLine="400" w:firstLineChars="200"/>
        <w:rPr>
          <w:rFonts w:ascii="Times New Roman" w:hAnsi="Times New Roman" w:cs="Times New Roman"/>
          <w:sz w:val="20"/>
          <w:szCs w:val="20"/>
        </w:rPr>
      </w:pPr>
      <w:r>
        <w:rPr>
          <w:rFonts w:hint="eastAsia" w:ascii="宋体" w:hAnsi="宋体" w:cs="宋体"/>
          <w:sz w:val="20"/>
          <w:szCs w:val="20"/>
        </w:rPr>
        <w:t>本课程适合日语本科专业高年级开设。学生学完基础日语课程，具有初级基础语法词汇知识，并且</w:t>
      </w:r>
      <w:r>
        <w:rPr>
          <w:rFonts w:ascii="宋体" w:hAnsi="宋体" w:cs="宋体"/>
          <w:sz w:val="20"/>
          <w:szCs w:val="20"/>
        </w:rPr>
        <w:t>开始学习</w:t>
      </w:r>
      <w:r>
        <w:rPr>
          <w:rFonts w:hint="eastAsia" w:ascii="宋体" w:hAnsi="宋体" w:cs="宋体"/>
          <w:sz w:val="20"/>
          <w:szCs w:val="20"/>
        </w:rPr>
        <w:t>高年级日语课程。由于本课程主要</w:t>
      </w:r>
      <w:r>
        <w:rPr>
          <w:rFonts w:ascii="宋体" w:hAnsi="宋体" w:cs="宋体"/>
          <w:sz w:val="20"/>
          <w:szCs w:val="20"/>
        </w:rPr>
        <w:t>通过视听理解日语</w:t>
      </w:r>
      <w:r>
        <w:rPr>
          <w:rFonts w:hint="eastAsia" w:ascii="宋体" w:hAnsi="宋体" w:cs="宋体"/>
          <w:sz w:val="20"/>
          <w:szCs w:val="20"/>
        </w:rPr>
        <w:t>，因此建议学生针对相关知识点，阅读相关课外</w:t>
      </w:r>
      <w:r>
        <w:rPr>
          <w:rFonts w:ascii="宋体" w:hAnsi="宋体" w:cs="宋体"/>
          <w:sz w:val="20"/>
          <w:szCs w:val="20"/>
        </w:rPr>
        <w:t>教参</w:t>
      </w:r>
      <w:r>
        <w:rPr>
          <w:rFonts w:hint="eastAsia" w:ascii="宋体" w:hAnsi="宋体" w:cs="宋体"/>
          <w:sz w:val="20"/>
          <w:szCs w:val="20"/>
        </w:rPr>
        <w:t>加深理解，要求加大第二课堂的投入力度。</w:t>
      </w:r>
    </w:p>
    <w:p>
      <w:pPr>
        <w:widowControl/>
        <w:spacing w:beforeLines="50" w:afterLines="50" w:line="288" w:lineRule="auto"/>
        <w:ind w:firstLine="360" w:firstLineChars="150"/>
        <w:jc w:val="left"/>
        <w:rPr>
          <w:rFonts w:ascii="黑体" w:hAnsi="宋体" w:eastAsia="黑体"/>
          <w:sz w:val="24"/>
          <w:szCs w:val="24"/>
        </w:rPr>
      </w:pPr>
      <w:r>
        <w:rPr>
          <w:rFonts w:hint="eastAsia" w:ascii="黑体" w:hAnsi="宋体" w:eastAsia="黑体" w:cs="黑体"/>
          <w:sz w:val="24"/>
          <w:szCs w:val="24"/>
        </w:rPr>
        <w:t>四、课程与专业毕业要求的关联性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rFonts w:ascii="Times New Roman" w:hAnsi="Times New Roman" w:cs="Times New Roman"/>
                <w:kern w:val="0"/>
                <w:sz w:val="20"/>
                <w:szCs w:val="20"/>
              </w:rPr>
            </w:pPr>
            <w:r>
              <w:rPr>
                <w:rFonts w:ascii="仿宋" w:hAnsi="仿宋" w:eastAsia="仿宋" w:cs="仿宋"/>
                <w:kern w:val="0"/>
                <w:sz w:val="24"/>
                <w:szCs w:val="24"/>
              </w:rPr>
              <w:t>LO11</w:t>
            </w:r>
            <w:r>
              <w:rPr>
                <w:rFonts w:hint="eastAsia" w:ascii="仿宋" w:hAnsi="仿宋" w:eastAsia="仿宋" w:cs="仿宋"/>
                <w:kern w:val="0"/>
                <w:sz w:val="24"/>
                <w:szCs w:val="24"/>
              </w:rPr>
              <w:t>：</w:t>
            </w:r>
          </w:p>
        </w:tc>
        <w:tc>
          <w:tcPr>
            <w:tcW w:w="6095" w:type="dxa"/>
            <w:vAlign w:val="center"/>
          </w:tcPr>
          <w:p>
            <w:pPr>
              <w:rPr>
                <w:rFonts w:ascii="Times New Roman" w:hAnsi="Times New Roman" w:cs="Times New Roman"/>
                <w:kern w:val="0"/>
                <w:sz w:val="20"/>
                <w:szCs w:val="20"/>
              </w:rPr>
            </w:pPr>
            <w:r>
              <w:rPr>
                <w:rFonts w:ascii="Times New Roman" w:hAnsi="Times New Roman" w:cs="Times New Roman"/>
                <w:kern w:val="0"/>
                <w:sz w:val="20"/>
                <w:szCs w:val="20"/>
              </w:rPr>
              <w:t>LO111</w:t>
            </w:r>
            <w:r>
              <w:rPr>
                <w:rFonts w:hint="eastAsia" w:ascii="Times New Roman" w:hAnsi="Times New Roman" w:cs="宋体"/>
                <w:kern w:val="0"/>
                <w:sz w:val="20"/>
                <w:szCs w:val="20"/>
              </w:rPr>
              <w:t>倾听他人意见、尊重他人观点、分析他人需求。</w:t>
            </w:r>
          </w:p>
        </w:tc>
        <w:tc>
          <w:tcPr>
            <w:tcW w:w="618" w:type="dxa"/>
            <w:vAlign w:val="center"/>
          </w:tcPr>
          <w:p>
            <w:pPr>
              <w:jc w:val="center"/>
              <w:rPr>
                <w:rFonts w:ascii="仿宋" w:hAnsi="仿宋" w:eastAsia="仿宋"/>
                <w:kern w:val="0"/>
                <w:sz w:val="24"/>
                <w:szCs w:val="24"/>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kern w:val="0"/>
                <w:sz w:val="24"/>
                <w:szCs w:val="24"/>
              </w:rPr>
            </w:pPr>
          </w:p>
        </w:tc>
        <w:tc>
          <w:tcPr>
            <w:tcW w:w="6095" w:type="dxa"/>
            <w:vAlign w:val="center"/>
          </w:tcPr>
          <w:p>
            <w:pPr>
              <w:rPr>
                <w:rFonts w:ascii="Times New Roman" w:hAnsi="Times New Roman" w:cs="Times New Roman"/>
                <w:kern w:val="0"/>
                <w:sz w:val="20"/>
                <w:szCs w:val="20"/>
              </w:rPr>
            </w:pPr>
            <w:r>
              <w:rPr>
                <w:rFonts w:ascii="Times New Roman" w:hAnsi="Times New Roman" w:cs="Times New Roman"/>
                <w:kern w:val="0"/>
                <w:sz w:val="20"/>
                <w:szCs w:val="20"/>
              </w:rPr>
              <w:t>LO112</w:t>
            </w:r>
            <w:r>
              <w:rPr>
                <w:rFonts w:hint="eastAsia" w:ascii="Times New Roman" w:hAnsi="Times New Roman" w:cs="宋体"/>
                <w:kern w:val="0"/>
                <w:sz w:val="20"/>
                <w:szCs w:val="20"/>
              </w:rPr>
              <w:t>应用书面或口头形式，阐释自己的观点，有效沟通。</w:t>
            </w:r>
          </w:p>
        </w:tc>
        <w:tc>
          <w:tcPr>
            <w:tcW w:w="618" w:type="dxa"/>
            <w:vAlign w:val="center"/>
          </w:tcPr>
          <w:p>
            <w:pPr>
              <w:jc w:val="center"/>
              <w:rPr>
                <w:rFonts w:ascii="仿宋" w:hAnsi="仿宋" w:eastAsia="仿宋"/>
                <w:kern w:val="0"/>
                <w:sz w:val="24"/>
                <w:szCs w:val="24"/>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Times New Roman" w:hAnsi="Times New Roman" w:cs="Times New Roman"/>
                <w:kern w:val="0"/>
                <w:sz w:val="20"/>
                <w:szCs w:val="20"/>
              </w:rPr>
            </w:pPr>
            <w:r>
              <w:rPr>
                <w:rFonts w:ascii="仿宋" w:hAnsi="仿宋" w:eastAsia="仿宋" w:cs="仿宋"/>
                <w:kern w:val="0"/>
                <w:sz w:val="24"/>
                <w:szCs w:val="24"/>
              </w:rPr>
              <w:t>LO21</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LO211</w:t>
            </w:r>
            <w:r>
              <w:rPr>
                <w:rFonts w:hint="eastAsia" w:ascii="Times New Roman" w:hAnsi="Times New Roman" w:cs="宋体"/>
                <w:kern w:val="0"/>
                <w:sz w:val="20"/>
                <w:szCs w:val="20"/>
              </w:rPr>
              <w:t>能根据需要自己确定学习目标，并设计学习计划。</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L0212</w:t>
            </w:r>
            <w:r>
              <w:rPr>
                <w:rFonts w:hint="eastAsia" w:ascii="Times New Roman" w:hAnsi="Times New Roman" w:cs="宋体"/>
                <w:kern w:val="0"/>
                <w:sz w:val="20"/>
                <w:szCs w:val="20"/>
              </w:rPr>
              <w:t>能搜集、获取达到目标所需要的学习资源，实施学习计划、反思学习计划、持续改进，达到学习目标。</w:t>
            </w:r>
          </w:p>
        </w:tc>
        <w:tc>
          <w:tcPr>
            <w:tcW w:w="618" w:type="dxa"/>
            <w:vAlign w:val="center"/>
          </w:tcPr>
          <w:p>
            <w:pPr>
              <w:widowControl/>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rFonts w:ascii="Times New Roman" w:hAnsi="Times New Roman" w:cs="Times New Roman"/>
                <w:kern w:val="0"/>
                <w:sz w:val="20"/>
                <w:szCs w:val="20"/>
              </w:rPr>
            </w:pPr>
            <w:r>
              <w:rPr>
                <w:rFonts w:ascii="仿宋" w:hAnsi="仿宋" w:eastAsia="仿宋" w:cs="仿宋"/>
                <w:kern w:val="0"/>
                <w:sz w:val="24"/>
                <w:szCs w:val="24"/>
              </w:rPr>
              <w:t>LO31</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LO311</w:t>
            </w:r>
            <w:r>
              <w:rPr>
                <w:rFonts w:hint="eastAsia" w:ascii="Times New Roman" w:hAnsi="Times New Roman" w:cs="宋体"/>
                <w:kern w:val="0"/>
                <w:sz w:val="20"/>
                <w:szCs w:val="20"/>
              </w:rPr>
              <w:t>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kern w:val="0"/>
                <w:sz w:val="24"/>
                <w:szCs w:val="24"/>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LO312</w:t>
            </w:r>
            <w:r>
              <w:rPr>
                <w:rFonts w:hint="eastAsia" w:ascii="Times New Roman" w:hAnsi="Times New Roman" w:cs="宋体"/>
                <w:kern w:val="0"/>
                <w:sz w:val="20"/>
                <w:szCs w:val="20"/>
              </w:rPr>
              <w:t>掌握正确的发音，能够使用日语进行交流与表达。</w:t>
            </w:r>
          </w:p>
        </w:tc>
        <w:tc>
          <w:tcPr>
            <w:tcW w:w="618" w:type="dxa"/>
            <w:vAlign w:val="center"/>
          </w:tcPr>
          <w:p>
            <w:pPr>
              <w:widowControl/>
              <w:jc w:val="center"/>
              <w:rPr>
                <w:rFonts w:ascii="仿宋" w:hAnsi="仿宋" w:eastAsia="仿宋"/>
                <w:kern w:val="0"/>
                <w:sz w:val="24"/>
                <w:szCs w:val="24"/>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LO313</w:t>
            </w:r>
            <w:r>
              <w:rPr>
                <w:rFonts w:hint="eastAsia" w:ascii="Times New Roman" w:hAnsi="Times New Roman" w:cs="宋体"/>
                <w:kern w:val="0"/>
                <w:sz w:val="20"/>
                <w:szCs w:val="20"/>
              </w:rPr>
              <w:t>掌握日语阅读技能，包括细读、泛读、评读等能力，提高分析归纳、推理检验等逻辑思维能力。</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LO314</w:t>
            </w:r>
            <w:r>
              <w:rPr>
                <w:rFonts w:hint="eastAsia" w:ascii="Times New Roman" w:hAnsi="Times New Roman" w:cs="宋体"/>
                <w:kern w:val="0"/>
                <w:sz w:val="20"/>
                <w:szCs w:val="20"/>
              </w:rPr>
              <w:t>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LO315</w:t>
            </w:r>
            <w:r>
              <w:rPr>
                <w:rFonts w:hint="eastAsia" w:ascii="Times New Roman" w:hAnsi="Times New Roman" w:cs="宋体"/>
                <w:kern w:val="0"/>
                <w:sz w:val="20"/>
                <w:szCs w:val="20"/>
              </w:rPr>
              <w:t>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kern w:val="0"/>
                <w:sz w:val="24"/>
                <w:szCs w:val="24"/>
              </w:rPr>
            </w:pPr>
            <w:r>
              <w:rPr>
                <w:rFonts w:ascii="仿宋" w:hAnsi="仿宋" w:eastAsia="仿宋" w:cs="仿宋"/>
                <w:kern w:val="0"/>
                <w:sz w:val="24"/>
                <w:szCs w:val="24"/>
              </w:rPr>
              <w:t>LO32</w:t>
            </w:r>
            <w:r>
              <w:rPr>
                <w:rFonts w:hint="eastAsia" w:ascii="仿宋" w:hAnsi="仿宋" w:eastAsia="仿宋" w:cs="仿宋"/>
                <w:kern w:val="0"/>
                <w:sz w:val="24"/>
                <w:szCs w:val="24"/>
              </w:rPr>
              <w:t>：</w:t>
            </w:r>
          </w:p>
        </w:tc>
        <w:tc>
          <w:tcPr>
            <w:tcW w:w="6095" w:type="dxa"/>
            <w:vAlign w:val="center"/>
          </w:tcPr>
          <w:p>
            <w:pPr>
              <w:widowControl/>
              <w:rPr>
                <w:rFonts w:ascii="仿宋" w:hAnsi="仿宋" w:eastAsia="仿宋"/>
                <w:kern w:val="0"/>
                <w:sz w:val="24"/>
                <w:szCs w:val="24"/>
              </w:rPr>
            </w:pPr>
            <w:r>
              <w:rPr>
                <w:rFonts w:ascii="Times New Roman" w:hAnsi="Times New Roman" w:cs="Times New Roman"/>
                <w:kern w:val="0"/>
                <w:sz w:val="20"/>
                <w:szCs w:val="20"/>
              </w:rPr>
              <w:t>LO321</w:t>
            </w:r>
            <w:r>
              <w:rPr>
                <w:rFonts w:hint="eastAsia" w:ascii="Times New Roman" w:hAnsi="Times New Roman" w:cs="宋体"/>
                <w:kern w:val="0"/>
                <w:sz w:val="20"/>
                <w:szCs w:val="20"/>
              </w:rPr>
              <w:t>了解语言学的一般理论，以及语言学研究的发展与现状。</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LO322</w:t>
            </w:r>
            <w:r>
              <w:rPr>
                <w:rFonts w:hint="eastAsia" w:ascii="Times New Roman" w:hAnsi="Times New Roman" w:cs="宋体"/>
                <w:kern w:val="0"/>
                <w:sz w:val="20"/>
                <w:szCs w:val="20"/>
              </w:rPr>
              <w:t>通过学习日语语言学基础知识点，包括语音、语义，词汇特别是语法知识，能对日语语言学具有基本了解，并能举例进行分析归纳与总结。</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LO323</w:t>
            </w:r>
            <w:r>
              <w:rPr>
                <w:rFonts w:hint="eastAsia" w:ascii="Times New Roman" w:hAnsi="Times New Roman" w:cs="宋体"/>
                <w:kern w:val="0"/>
                <w:sz w:val="20"/>
                <w:szCs w:val="20"/>
              </w:rPr>
              <w:t>了解日本文学史上不同时期的重要作家及其代表作品。</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LO324</w:t>
            </w:r>
            <w:r>
              <w:rPr>
                <w:rFonts w:hint="eastAsia" w:ascii="Times New Roman" w:hAnsi="Times New Roman" w:cs="宋体"/>
                <w:kern w:val="0"/>
                <w:sz w:val="20"/>
                <w:szCs w:val="20"/>
              </w:rPr>
              <w:t>具备阅读、欣赏、理解日本文学原著的能力，掌握文学批评的基本知识和方法。</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kern w:val="0"/>
                <w:sz w:val="24"/>
                <w:szCs w:val="24"/>
              </w:rPr>
            </w:pPr>
            <w:r>
              <w:rPr>
                <w:rFonts w:ascii="仿宋" w:hAnsi="仿宋" w:eastAsia="仿宋" w:cs="仿宋"/>
                <w:kern w:val="0"/>
                <w:sz w:val="24"/>
                <w:szCs w:val="24"/>
              </w:rPr>
              <w:t>LO33</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LO331</w:t>
            </w:r>
            <w:r>
              <w:rPr>
                <w:rFonts w:hint="eastAsia" w:ascii="Times New Roman" w:hAnsi="Times New Roman" w:cs="宋体"/>
                <w:kern w:val="0"/>
                <w:sz w:val="20"/>
                <w:szCs w:val="20"/>
              </w:rPr>
              <w:t>了解日本文化、社会和风土人情，认识中日文化差异。</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LO332</w:t>
            </w:r>
            <w:r>
              <w:rPr>
                <w:rFonts w:hint="eastAsia" w:ascii="Times New Roman" w:hAnsi="Times New Roman" w:cs="宋体"/>
                <w:kern w:val="0"/>
                <w:sz w:val="20"/>
                <w:szCs w:val="20"/>
              </w:rPr>
              <w:t>具有跨文化交际能力，掌握有效的认知、调控、交际策略和跨文化理解能力。</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kern w:val="0"/>
                <w:sz w:val="24"/>
                <w:szCs w:val="24"/>
              </w:rPr>
            </w:pPr>
            <w:r>
              <w:rPr>
                <w:rFonts w:ascii="仿宋" w:hAnsi="仿宋" w:eastAsia="仿宋" w:cs="仿宋"/>
                <w:kern w:val="0"/>
                <w:sz w:val="24"/>
                <w:szCs w:val="24"/>
              </w:rPr>
              <w:t>LO34</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LO341</w:t>
            </w:r>
            <w:r>
              <w:rPr>
                <w:rFonts w:hint="eastAsia" w:ascii="Times New Roman" w:hAnsi="Times New Roman" w:cs="宋体"/>
                <w:kern w:val="0"/>
                <w:sz w:val="20"/>
                <w:szCs w:val="20"/>
              </w:rPr>
              <w:t>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LO342</w:t>
            </w:r>
            <w:r>
              <w:rPr>
                <w:rFonts w:hint="eastAsia" w:ascii="Times New Roman" w:hAnsi="Times New Roman" w:cs="宋体"/>
                <w:kern w:val="0"/>
                <w:sz w:val="20"/>
                <w:szCs w:val="20"/>
              </w:rPr>
              <w:t>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rFonts w:ascii="Times New Roman" w:hAnsi="Times New Roman" w:cs="Times New Roman"/>
                <w:kern w:val="0"/>
                <w:sz w:val="20"/>
                <w:szCs w:val="20"/>
              </w:rPr>
            </w:pPr>
            <w:r>
              <w:rPr>
                <w:rFonts w:ascii="仿宋" w:hAnsi="仿宋" w:eastAsia="仿宋" w:cs="仿宋"/>
                <w:kern w:val="0"/>
                <w:sz w:val="24"/>
                <w:szCs w:val="24"/>
              </w:rPr>
              <w:t>LO41</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L0411</w:t>
            </w:r>
            <w:r>
              <w:rPr>
                <w:rFonts w:hint="eastAsia" w:ascii="Times New Roman" w:hAnsi="Times New Roman" w:cs="宋体"/>
                <w:kern w:val="0"/>
                <w:sz w:val="20"/>
                <w:szCs w:val="20"/>
              </w:rPr>
              <w:t>遵纪守法：遵守校纪校规，具备法律意识。</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 xml:space="preserve">L0412 </w:t>
            </w:r>
            <w:r>
              <w:rPr>
                <w:rFonts w:hint="eastAsia" w:ascii="Times New Roman" w:hAnsi="Times New Roman" w:cs="宋体"/>
                <w:kern w:val="0"/>
                <w:sz w:val="20"/>
                <w:szCs w:val="20"/>
              </w:rPr>
              <w:t>诚实守信：为人诚实，信守承诺，尽职尽责。</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LO413</w:t>
            </w:r>
            <w:r>
              <w:rPr>
                <w:rFonts w:hint="eastAsia" w:ascii="Times New Roman" w:hAnsi="Times New Roman" w:cs="宋体"/>
                <w:kern w:val="0"/>
                <w:sz w:val="20"/>
                <w:szCs w:val="20"/>
              </w:rPr>
              <w:t>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LO414</w:t>
            </w:r>
            <w:r>
              <w:rPr>
                <w:rFonts w:hint="eastAsia" w:ascii="Times New Roman" w:hAnsi="Times New Roman" w:cs="宋体"/>
                <w:kern w:val="0"/>
                <w:sz w:val="20"/>
                <w:szCs w:val="20"/>
              </w:rPr>
              <w:t>身心健康，能承受学习和生活中的压力。</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Times New Roman" w:hAnsi="Times New Roman" w:cs="Times New Roman"/>
                <w:kern w:val="0"/>
                <w:sz w:val="20"/>
                <w:szCs w:val="20"/>
              </w:rPr>
            </w:pPr>
            <w:r>
              <w:rPr>
                <w:rFonts w:ascii="仿宋" w:hAnsi="仿宋" w:eastAsia="仿宋" w:cs="仿宋"/>
                <w:kern w:val="0"/>
                <w:sz w:val="24"/>
                <w:szCs w:val="24"/>
              </w:rPr>
              <w:t>LO51</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L0511</w:t>
            </w:r>
            <w:r>
              <w:rPr>
                <w:rFonts w:hint="eastAsia" w:ascii="Times New Roman" w:hAnsi="Times New Roman" w:cs="宋体"/>
                <w:kern w:val="0"/>
                <w:sz w:val="20"/>
                <w:szCs w:val="20"/>
              </w:rPr>
              <w:t>在集体活动中能主动担任自己的角色，与其他成员密切合作，共同完成任务。</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 xml:space="preserve">L0512 </w:t>
            </w:r>
            <w:r>
              <w:rPr>
                <w:rFonts w:hint="eastAsia" w:ascii="Times New Roman" w:hAnsi="Times New Roman" w:cs="宋体"/>
                <w:kern w:val="0"/>
                <w:sz w:val="20"/>
                <w:szCs w:val="20"/>
              </w:rPr>
              <w:t>有质疑精神，能有逻辑的分析与批判。</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 xml:space="preserve">L0513 </w:t>
            </w:r>
            <w:r>
              <w:rPr>
                <w:rFonts w:hint="eastAsia" w:ascii="Times New Roman" w:hAnsi="Times New Roman" w:cs="宋体"/>
                <w:kern w:val="0"/>
                <w:sz w:val="20"/>
                <w:szCs w:val="20"/>
              </w:rPr>
              <w:t>能用创新的方法或者多种方法解决复杂问题或真实问题。</w:t>
            </w:r>
          </w:p>
        </w:tc>
        <w:tc>
          <w:tcPr>
            <w:tcW w:w="618" w:type="dxa"/>
            <w:vAlign w:val="center"/>
          </w:tcPr>
          <w:p>
            <w:pPr>
              <w:widowControl/>
              <w:jc w:val="center"/>
              <w:rPr>
                <w:rFonts w:ascii="仿宋" w:hAnsi="仿宋" w:eastAsia="仿宋"/>
                <w:kern w:val="0"/>
                <w:sz w:val="24"/>
                <w:szCs w:val="24"/>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L0514</w:t>
            </w:r>
            <w:r>
              <w:rPr>
                <w:rFonts w:hint="eastAsia" w:ascii="Times New Roman" w:hAnsi="Times New Roman" w:cs="宋体"/>
                <w:kern w:val="0"/>
                <w:sz w:val="20"/>
                <w:szCs w:val="20"/>
              </w:rPr>
              <w:t>了解行业前沿知识技术。</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rFonts w:ascii="Times New Roman" w:hAnsi="Times New Roman" w:cs="Times New Roman"/>
                <w:kern w:val="0"/>
                <w:sz w:val="20"/>
                <w:szCs w:val="20"/>
              </w:rPr>
            </w:pPr>
            <w:r>
              <w:rPr>
                <w:rFonts w:ascii="仿宋" w:hAnsi="仿宋" w:eastAsia="仿宋" w:cs="仿宋"/>
                <w:kern w:val="0"/>
                <w:sz w:val="24"/>
                <w:szCs w:val="24"/>
              </w:rPr>
              <w:t>LO61</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LO611</w:t>
            </w:r>
            <w:r>
              <w:rPr>
                <w:rFonts w:hint="eastAsia" w:ascii="Times New Roman" w:hAnsi="Times New Roman" w:cs="宋体"/>
                <w:kern w:val="0"/>
                <w:sz w:val="20"/>
                <w:szCs w:val="20"/>
              </w:rPr>
              <w:t>能够根据需要进行专业文献检索。</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LO612</w:t>
            </w:r>
            <w:r>
              <w:rPr>
                <w:rFonts w:hint="eastAsia" w:ascii="Times New Roman" w:hAnsi="Times New Roman" w:cs="宋体"/>
                <w:kern w:val="0"/>
                <w:sz w:val="20"/>
                <w:szCs w:val="20"/>
              </w:rPr>
              <w:t>能够使用适合的工具来搜集信息，并对信息加以分析、鉴别、判断与整合。</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LO613</w:t>
            </w:r>
            <w:r>
              <w:rPr>
                <w:rFonts w:hint="eastAsia" w:ascii="Times New Roman" w:hAnsi="Times New Roman" w:cs="宋体"/>
                <w:kern w:val="0"/>
                <w:sz w:val="20"/>
                <w:szCs w:val="20"/>
              </w:rPr>
              <w:t>熟练使用计算机，掌握常用办公软件。</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Times New Roman" w:hAnsi="Times New Roman" w:cs="Times New Roman"/>
                <w:kern w:val="0"/>
                <w:sz w:val="20"/>
                <w:szCs w:val="20"/>
              </w:rPr>
            </w:pPr>
            <w:r>
              <w:rPr>
                <w:rFonts w:ascii="仿宋" w:hAnsi="仿宋" w:eastAsia="仿宋" w:cs="仿宋"/>
                <w:kern w:val="0"/>
                <w:sz w:val="24"/>
                <w:szCs w:val="24"/>
              </w:rPr>
              <w:t>LO71</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LO711</w:t>
            </w:r>
            <w:r>
              <w:rPr>
                <w:rFonts w:hint="eastAsia" w:ascii="Times New Roman" w:hAnsi="Times New Roman" w:cs="宋体"/>
                <w:kern w:val="0"/>
                <w:sz w:val="20"/>
                <w:szCs w:val="20"/>
              </w:rPr>
              <w:t>爱党爱国：了解祖国的优秀传统文化和革命历史，构建爱党爱国的理想信念。</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LO712</w:t>
            </w:r>
            <w:r>
              <w:rPr>
                <w:rFonts w:hint="eastAsia" w:ascii="Times New Roman" w:hAnsi="Times New Roman" w:cs="宋体"/>
                <w:kern w:val="0"/>
                <w:sz w:val="20"/>
                <w:szCs w:val="20"/>
              </w:rPr>
              <w:t>助人为乐：富于爱心，懂得感恩，具备助人为乐的品质。</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LO713</w:t>
            </w:r>
            <w:r>
              <w:rPr>
                <w:rFonts w:hint="eastAsia" w:ascii="Times New Roman" w:hAnsi="Times New Roman" w:cs="宋体"/>
                <w:kern w:val="0"/>
                <w:sz w:val="20"/>
                <w:szCs w:val="20"/>
              </w:rPr>
              <w:t>奉献社会：具有服务企业、服务社会的意愿和行为能力。</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LO714</w:t>
            </w:r>
            <w:r>
              <w:rPr>
                <w:rFonts w:hint="eastAsia" w:ascii="Times New Roman" w:hAnsi="Times New Roman" w:cs="宋体"/>
                <w:kern w:val="0"/>
                <w:sz w:val="20"/>
                <w:szCs w:val="20"/>
              </w:rPr>
              <w:t>爱护环境：具有爱护环境的意识和与自然和谐相处的环保理念。</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rFonts w:ascii="Times New Roman" w:hAnsi="Times New Roman" w:cs="Times New Roman"/>
                <w:kern w:val="0"/>
                <w:sz w:val="20"/>
                <w:szCs w:val="20"/>
              </w:rPr>
            </w:pPr>
            <w:r>
              <w:rPr>
                <w:rFonts w:ascii="仿宋" w:hAnsi="仿宋" w:eastAsia="仿宋" w:cs="仿宋"/>
                <w:kern w:val="0"/>
                <w:sz w:val="24"/>
                <w:szCs w:val="24"/>
              </w:rPr>
              <w:t>LO81</w:t>
            </w:r>
            <w:r>
              <w:rPr>
                <w:rFonts w:hint="eastAsia" w:ascii="仿宋" w:hAnsi="仿宋" w:eastAsia="仿宋" w:cs="仿宋"/>
                <w:kern w:val="0"/>
                <w:sz w:val="24"/>
                <w:szCs w:val="24"/>
              </w:rPr>
              <w:t>：</w:t>
            </w: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LO811</w:t>
            </w:r>
            <w:r>
              <w:rPr>
                <w:rFonts w:hint="eastAsia" w:ascii="Times New Roman" w:hAnsi="Times New Roman" w:cs="宋体"/>
                <w:kern w:val="0"/>
                <w:sz w:val="20"/>
                <w:szCs w:val="20"/>
              </w:rPr>
              <w:t>具备外语表达沟通能力，达到本专业的要求。</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LO812</w:t>
            </w:r>
            <w:r>
              <w:rPr>
                <w:rFonts w:hint="eastAsia" w:ascii="Times New Roman" w:hAnsi="Times New Roman" w:cs="宋体"/>
                <w:kern w:val="0"/>
                <w:sz w:val="20"/>
                <w:szCs w:val="20"/>
              </w:rPr>
              <w:t>理解其他国家历史文化，有跨文化交流能力。</w:t>
            </w:r>
          </w:p>
        </w:tc>
        <w:tc>
          <w:tcPr>
            <w:tcW w:w="618" w:type="dxa"/>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kern w:val="0"/>
                <w:sz w:val="24"/>
                <w:szCs w:val="24"/>
              </w:rPr>
            </w:pPr>
          </w:p>
        </w:tc>
        <w:tc>
          <w:tcPr>
            <w:tcW w:w="6095" w:type="dxa"/>
            <w:vAlign w:val="center"/>
          </w:tcPr>
          <w:p>
            <w:pPr>
              <w:widowControl/>
              <w:rPr>
                <w:rFonts w:ascii="Times New Roman" w:hAnsi="Times New Roman" w:cs="Times New Roman"/>
                <w:kern w:val="0"/>
                <w:sz w:val="20"/>
                <w:szCs w:val="20"/>
              </w:rPr>
            </w:pPr>
            <w:r>
              <w:rPr>
                <w:rFonts w:ascii="Times New Roman" w:hAnsi="Times New Roman" w:cs="Times New Roman"/>
                <w:kern w:val="0"/>
                <w:sz w:val="20"/>
                <w:szCs w:val="20"/>
              </w:rPr>
              <w:t>LO813</w:t>
            </w:r>
            <w:r>
              <w:rPr>
                <w:rFonts w:hint="eastAsia" w:ascii="Times New Roman" w:hAnsi="Times New Roman" w:cs="宋体"/>
                <w:kern w:val="0"/>
                <w:sz w:val="20"/>
                <w:szCs w:val="20"/>
              </w:rPr>
              <w:t>有国际竞争与合作意识。</w:t>
            </w:r>
          </w:p>
        </w:tc>
        <w:tc>
          <w:tcPr>
            <w:tcW w:w="618" w:type="dxa"/>
            <w:vAlign w:val="center"/>
          </w:tcPr>
          <w:p>
            <w:pPr>
              <w:widowControl/>
              <w:jc w:val="center"/>
              <w:rPr>
                <w:rFonts w:ascii="仿宋" w:hAnsi="仿宋" w:eastAsia="仿宋"/>
                <w:kern w:val="0"/>
                <w:sz w:val="24"/>
                <w:szCs w:val="24"/>
              </w:rPr>
            </w:pPr>
          </w:p>
        </w:tc>
      </w:tr>
    </w:tbl>
    <w:p>
      <w:pPr>
        <w:widowControl/>
        <w:spacing w:beforeLines="50" w:afterLines="50" w:line="288" w:lineRule="auto"/>
        <w:jc w:val="left"/>
      </w:pPr>
      <w:r>
        <w:rPr>
          <w:rFonts w:hint="eastAsia" w:cs="宋体"/>
        </w:rPr>
        <w:t>备注：</w:t>
      </w:r>
      <w:r>
        <w:t>LO=learning outcomes</w:t>
      </w:r>
      <w:r>
        <w:rPr>
          <w:rFonts w:hint="eastAsia" w:cs="宋体"/>
        </w:rPr>
        <w:t>（学习成果）</w:t>
      </w:r>
    </w:p>
    <w:p>
      <w:pPr>
        <w:widowControl/>
        <w:spacing w:beforeLines="50" w:afterLines="50" w:line="288" w:lineRule="auto"/>
        <w:ind w:firstLine="360" w:firstLineChars="150"/>
        <w:jc w:val="left"/>
        <w:rPr>
          <w:rFonts w:ascii="黑体" w:hAnsi="宋体" w:eastAsia="黑体" w:cs="黑体"/>
          <w:sz w:val="24"/>
          <w:szCs w:val="24"/>
        </w:rPr>
      </w:pPr>
      <w:r>
        <w:rPr>
          <w:rFonts w:hint="eastAsia" w:ascii="黑体" w:hAnsi="宋体" w:eastAsia="黑体" w:cs="黑体"/>
          <w:sz w:val="24"/>
          <w:szCs w:val="24"/>
        </w:rPr>
        <w:t>五、课程目标</w:t>
      </w:r>
      <w:r>
        <w:rPr>
          <w:rFonts w:ascii="黑体" w:hAnsi="宋体" w:eastAsia="黑体" w:cs="黑体"/>
          <w:sz w:val="24"/>
          <w:szCs w:val="24"/>
        </w:rPr>
        <w:t>/</w:t>
      </w:r>
      <w:r>
        <w:rPr>
          <w:rFonts w:hint="eastAsia" w:ascii="黑体" w:hAnsi="宋体" w:eastAsia="黑体" w:cs="黑体"/>
          <w:sz w:val="24"/>
          <w:szCs w:val="24"/>
        </w:rPr>
        <w:t>课程预期学习成果</w:t>
      </w:r>
    </w:p>
    <w:p>
      <w:pPr>
        <w:spacing w:line="360" w:lineRule="auto"/>
        <w:ind w:firstLine="500" w:firstLineChars="250"/>
        <w:rPr>
          <w:sz w:val="20"/>
          <w:szCs w:val="20"/>
          <w:highlight w:val="yellow"/>
        </w:rPr>
      </w:pPr>
      <w:r>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jc w:val="center"/>
              <w:rPr>
                <w:b/>
                <w:color w:val="000000"/>
                <w:sz w:val="20"/>
                <w:szCs w:val="20"/>
              </w:rPr>
            </w:pPr>
            <w:r>
              <w:rPr>
                <w:rFonts w:hint="eastAsia"/>
                <w:b/>
                <w:color w:val="000000"/>
                <w:sz w:val="20"/>
                <w:szCs w:val="20"/>
              </w:rPr>
              <w:t>序号</w:t>
            </w:r>
          </w:p>
        </w:tc>
        <w:tc>
          <w:tcPr>
            <w:tcW w:w="1175" w:type="dxa"/>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L0111</w:t>
            </w:r>
          </w:p>
        </w:tc>
        <w:tc>
          <w:tcPr>
            <w:tcW w:w="2470" w:type="dxa"/>
          </w:tcPr>
          <w:p>
            <w:pP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倾听他人意见、尊重他人观点、分析他人需求。</w:t>
            </w:r>
          </w:p>
        </w:tc>
        <w:tc>
          <w:tcPr>
            <w:tcW w:w="2199" w:type="dxa"/>
          </w:tcPr>
          <w:p>
            <w:pPr>
              <w:snapToGrid w:val="0"/>
              <w:spacing w:line="288" w:lineRule="auto"/>
              <w:jc w:val="left"/>
              <w:rPr>
                <w:rFonts w:asciiTheme="majorEastAsia" w:hAnsiTheme="majorEastAsia" w:eastAsiaTheme="majorEastAsia" w:cstheme="majorEastAsia"/>
                <w:color w:val="000000"/>
                <w:kern w:val="0"/>
                <w:sz w:val="24"/>
              </w:rPr>
            </w:pPr>
          </w:p>
          <w:p>
            <w:pPr>
              <w:snapToGrid w:val="0"/>
              <w:spacing w:line="288" w:lineRule="auto"/>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与学生进行交流。</w:t>
            </w:r>
          </w:p>
        </w:tc>
        <w:tc>
          <w:tcPr>
            <w:tcW w:w="1276" w:type="dxa"/>
          </w:tcPr>
          <w:p>
            <w:pPr>
              <w:snapToGrid w:val="0"/>
              <w:spacing w:line="288" w:lineRule="auto"/>
              <w:jc w:val="center"/>
              <w:rPr>
                <w:rFonts w:asciiTheme="majorEastAsia" w:hAnsiTheme="majorEastAsia" w:eastAsiaTheme="majorEastAsia" w:cstheme="majorEastAsia"/>
                <w:color w:val="000000"/>
                <w:kern w:val="0"/>
                <w:sz w:val="24"/>
              </w:rPr>
            </w:pPr>
          </w:p>
          <w:p>
            <w:pPr>
              <w:snapToGrid w:val="0"/>
              <w:spacing w:line="288" w:lineRule="auto"/>
              <w:jc w:val="cente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回答问题口头发表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L0112</w:t>
            </w:r>
          </w:p>
        </w:tc>
        <w:tc>
          <w:tcPr>
            <w:tcW w:w="2470" w:type="dxa"/>
          </w:tcPr>
          <w:p>
            <w:pP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应用书面或口头形式，阐释自己的观点，有效沟通。</w:t>
            </w:r>
          </w:p>
        </w:tc>
        <w:tc>
          <w:tcPr>
            <w:tcW w:w="2199" w:type="dxa"/>
          </w:tcPr>
          <w:p>
            <w:pPr>
              <w:snapToGrid w:val="0"/>
              <w:spacing w:line="288" w:lineRule="auto"/>
              <w:jc w:val="left"/>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让学生用日语进行学习内容总结。</w:t>
            </w:r>
          </w:p>
        </w:tc>
        <w:tc>
          <w:tcPr>
            <w:tcW w:w="1276" w:type="dxa"/>
          </w:tcPr>
          <w:p>
            <w:pPr>
              <w:snapToGrid w:val="0"/>
              <w:spacing w:line="288" w:lineRule="auto"/>
              <w:jc w:val="center"/>
              <w:rPr>
                <w:rFonts w:asciiTheme="majorEastAsia" w:hAnsiTheme="majorEastAsia" w:eastAsiaTheme="majorEastAsia" w:cstheme="majorEastAsia"/>
                <w:color w:val="000000"/>
                <w:kern w:val="0"/>
                <w:sz w:val="24"/>
              </w:rPr>
            </w:pPr>
          </w:p>
          <w:p>
            <w:pPr>
              <w:snapToGrid w:val="0"/>
              <w:spacing w:line="288" w:lineRule="auto"/>
              <w:jc w:val="cente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回答问题口头发表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LO311</w:t>
            </w:r>
          </w:p>
        </w:tc>
        <w:tc>
          <w:tcPr>
            <w:tcW w:w="2470" w:type="dxa"/>
          </w:tcPr>
          <w:p>
            <w:pPr>
              <w:rPr>
                <w:rFonts w:asciiTheme="majorEastAsia" w:hAnsiTheme="majorEastAsia" w:eastAsiaTheme="majorEastAsia" w:cstheme="majorEastAsia"/>
                <w:color w:val="000000"/>
                <w:kern w:val="0"/>
                <w:sz w:val="24"/>
              </w:rPr>
            </w:pPr>
          </w:p>
          <w:p>
            <w:pPr>
              <w:rPr>
                <w:rFonts w:asciiTheme="majorEastAsia" w:hAnsiTheme="majorEastAsia" w:eastAsiaTheme="majorEastAsia" w:cstheme="majorEastAsia"/>
                <w:color w:val="000000"/>
                <w:kern w:val="0"/>
                <w:sz w:val="24"/>
              </w:rPr>
            </w:pPr>
          </w:p>
          <w:p>
            <w:pP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能听懂正常语速下的日语对话，根据语调和重音理解说话者的意图，能听懂语段内容，并提取信息和观点。</w:t>
            </w:r>
          </w:p>
        </w:tc>
        <w:tc>
          <w:tcPr>
            <w:tcW w:w="2199" w:type="dxa"/>
          </w:tcPr>
          <w:p>
            <w:pPr>
              <w:snapToGrid w:val="0"/>
              <w:spacing w:line="288"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kern w:val="0"/>
                <w:sz w:val="24"/>
                <w:szCs w:val="24"/>
              </w:rPr>
              <w:t>1.反复带领学生朗读，注音语调。并听录音进行复述训练。2.详细解说本课出现语法及句型，进行简单造句、翻译练习。3.让学生进行内容总结复述。</w:t>
            </w:r>
          </w:p>
        </w:tc>
        <w:tc>
          <w:tcPr>
            <w:tcW w:w="1276" w:type="dxa"/>
          </w:tcPr>
          <w:p>
            <w:pPr>
              <w:snapToGrid w:val="0"/>
              <w:spacing w:line="288" w:lineRule="auto"/>
              <w:jc w:val="center"/>
              <w:rPr>
                <w:rFonts w:asciiTheme="majorEastAsia" w:hAnsiTheme="majorEastAsia" w:eastAsiaTheme="majorEastAsia" w:cstheme="majorEastAsia"/>
                <w:color w:val="000000"/>
                <w:kern w:val="0"/>
                <w:sz w:val="24"/>
              </w:rPr>
            </w:pPr>
          </w:p>
          <w:p>
            <w:pPr>
              <w:snapToGrid w:val="0"/>
              <w:spacing w:line="288" w:lineRule="auto"/>
              <w:jc w:val="center"/>
              <w:rPr>
                <w:rFonts w:asciiTheme="majorEastAsia" w:hAnsiTheme="majorEastAsia" w:eastAsiaTheme="majorEastAsia" w:cstheme="majorEastAsia"/>
                <w:color w:val="000000"/>
                <w:kern w:val="0"/>
                <w:sz w:val="24"/>
              </w:rPr>
            </w:pPr>
          </w:p>
          <w:p>
            <w:pPr>
              <w:snapToGrid w:val="0"/>
              <w:spacing w:line="288" w:lineRule="auto"/>
              <w:jc w:val="cente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课堂默写</w:t>
            </w:r>
          </w:p>
          <w:p>
            <w:pPr>
              <w:snapToGrid w:val="0"/>
              <w:spacing w:line="288" w:lineRule="auto"/>
              <w:jc w:val="cente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笔头作业</w:t>
            </w:r>
          </w:p>
          <w:p>
            <w:pPr>
              <w:snapToGrid w:val="0"/>
              <w:spacing w:line="288" w:lineRule="auto"/>
              <w:jc w:val="cente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口头发表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1175" w:type="dxa"/>
          </w:tcPr>
          <w:p>
            <w:pPr>
              <w:rPr>
                <w:rFonts w:ascii="仿宋" w:hAnsi="仿宋" w:eastAsia="仿宋" w:cs="宋体"/>
                <w:color w:val="000000"/>
                <w:kern w:val="0"/>
                <w:sz w:val="24"/>
                <w:szCs w:val="24"/>
              </w:rPr>
            </w:pPr>
          </w:p>
          <w:p>
            <w:pPr>
              <w:rPr>
                <w:rFonts w:ascii="仿宋" w:hAnsi="仿宋" w:eastAsia="仿宋" w:cs="宋体"/>
                <w:color w:val="000000"/>
                <w:kern w:val="0"/>
                <w:sz w:val="24"/>
                <w:szCs w:val="24"/>
              </w:rPr>
            </w:pPr>
          </w:p>
          <w:p>
            <w:pPr>
              <w:rPr>
                <w:rFonts w:ascii="仿宋" w:hAnsi="仿宋" w:eastAsia="仿宋" w:cs="宋体"/>
                <w:color w:val="000000"/>
                <w:kern w:val="0"/>
                <w:sz w:val="24"/>
                <w:szCs w:val="24"/>
              </w:rPr>
            </w:pPr>
          </w:p>
          <w:p>
            <w:pPr>
              <w:rPr>
                <w:rFonts w:ascii="仿宋" w:hAnsi="仿宋" w:eastAsia="仿宋" w:cs="宋体"/>
                <w:color w:val="000000"/>
                <w:kern w:val="0"/>
                <w:sz w:val="24"/>
              </w:rPr>
            </w:pPr>
            <w:r>
              <w:rPr>
                <w:rFonts w:hint="eastAsia" w:ascii="仿宋" w:hAnsi="仿宋" w:eastAsia="仿宋" w:cs="宋体"/>
                <w:color w:val="000000"/>
                <w:kern w:val="0"/>
                <w:sz w:val="24"/>
                <w:szCs w:val="24"/>
              </w:rPr>
              <w:t>LO312</w:t>
            </w:r>
          </w:p>
        </w:tc>
        <w:tc>
          <w:tcPr>
            <w:tcW w:w="2470" w:type="dxa"/>
          </w:tcPr>
          <w:p>
            <w:pPr>
              <w:rPr>
                <w:rFonts w:asciiTheme="majorEastAsia" w:hAnsiTheme="majorEastAsia" w:eastAsiaTheme="majorEastAsia" w:cstheme="majorEastAsia"/>
                <w:color w:val="000000"/>
                <w:kern w:val="0"/>
                <w:sz w:val="24"/>
              </w:rPr>
            </w:pPr>
          </w:p>
          <w:p>
            <w:pPr>
              <w:rPr>
                <w:rFonts w:asciiTheme="majorEastAsia" w:hAnsiTheme="majorEastAsia" w:eastAsiaTheme="majorEastAsia" w:cstheme="majorEastAsia"/>
                <w:color w:val="000000"/>
                <w:kern w:val="0"/>
                <w:sz w:val="24"/>
              </w:rPr>
            </w:pPr>
          </w:p>
          <w:p>
            <w:pPr>
              <w:rPr>
                <w:rFonts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掌握正确的发音，能够使用日语进行交流与表达。</w:t>
            </w:r>
          </w:p>
        </w:tc>
        <w:tc>
          <w:tcPr>
            <w:tcW w:w="2199" w:type="dxa"/>
          </w:tcPr>
          <w:p>
            <w:pPr>
              <w:snapToGrid w:val="0"/>
              <w:spacing w:line="288"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kern w:val="0"/>
                <w:sz w:val="24"/>
                <w:szCs w:val="24"/>
              </w:rPr>
              <w:t>1.反复带领学生朗读，注音语调。并听录音进行复述训练。2.详细解说本课出现语法及句型，进行简单造句、翻译练习。3.让学生进行内容总结复述。</w:t>
            </w:r>
          </w:p>
        </w:tc>
        <w:tc>
          <w:tcPr>
            <w:tcW w:w="1276" w:type="dxa"/>
          </w:tcPr>
          <w:p>
            <w:pPr>
              <w:snapToGrid w:val="0"/>
              <w:spacing w:line="288" w:lineRule="auto"/>
              <w:jc w:val="center"/>
              <w:rPr>
                <w:rFonts w:asciiTheme="majorEastAsia" w:hAnsiTheme="majorEastAsia" w:eastAsiaTheme="majorEastAsia" w:cstheme="majorEastAsia"/>
                <w:color w:val="000000"/>
                <w:kern w:val="0"/>
                <w:sz w:val="24"/>
              </w:rPr>
            </w:pPr>
          </w:p>
          <w:p>
            <w:pPr>
              <w:snapToGrid w:val="0"/>
              <w:spacing w:line="288" w:lineRule="auto"/>
              <w:jc w:val="center"/>
              <w:rPr>
                <w:rFonts w:asciiTheme="majorEastAsia" w:hAnsiTheme="majorEastAsia" w:eastAsiaTheme="majorEastAsia" w:cstheme="majorEastAsia"/>
                <w:color w:val="000000"/>
                <w:kern w:val="0"/>
                <w:sz w:val="24"/>
              </w:rPr>
            </w:pPr>
          </w:p>
          <w:p>
            <w:pPr>
              <w:snapToGrid w:val="0"/>
              <w:spacing w:line="288"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kern w:val="0"/>
                <w:sz w:val="24"/>
              </w:rPr>
              <w:t>回答问题口头发表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宋体"/>
                <w:color w:val="000000"/>
                <w:kern w:val="0"/>
                <w:sz w:val="24"/>
                <w:szCs w:val="24"/>
              </w:rPr>
            </w:pPr>
          </w:p>
          <w:p>
            <w:pPr>
              <w:rPr>
                <w:rFonts w:ascii="仿宋" w:hAnsi="仿宋" w:eastAsia="仿宋" w:cs="宋体"/>
                <w:color w:val="000000"/>
                <w:kern w:val="0"/>
                <w:sz w:val="24"/>
              </w:rPr>
            </w:pPr>
            <w:r>
              <w:rPr>
                <w:rFonts w:hint="eastAsia" w:ascii="仿宋" w:hAnsi="仿宋" w:eastAsia="仿宋" w:cs="宋体"/>
                <w:color w:val="000000"/>
                <w:kern w:val="0"/>
                <w:sz w:val="24"/>
                <w:szCs w:val="24"/>
              </w:rPr>
              <w:t>5</w:t>
            </w:r>
          </w:p>
        </w:tc>
        <w:tc>
          <w:tcPr>
            <w:tcW w:w="1175" w:type="dxa"/>
          </w:tcPr>
          <w:p>
            <w:pPr>
              <w:rPr>
                <w:rFonts w:ascii="仿宋" w:hAnsi="仿宋" w:eastAsia="仿宋" w:cs="宋体"/>
                <w:color w:val="000000"/>
                <w:kern w:val="0"/>
                <w:sz w:val="24"/>
                <w:szCs w:val="24"/>
              </w:rPr>
            </w:pPr>
          </w:p>
          <w:p>
            <w:pPr>
              <w:rPr>
                <w:rFonts w:ascii="仿宋" w:hAnsi="仿宋" w:eastAsia="仿宋" w:cs="宋体"/>
                <w:color w:val="000000"/>
                <w:kern w:val="0"/>
                <w:sz w:val="24"/>
              </w:rPr>
            </w:pPr>
            <w:r>
              <w:rPr>
                <w:rFonts w:hint="eastAsia" w:ascii="仿宋" w:hAnsi="仿宋" w:eastAsia="仿宋" w:cs="宋体"/>
                <w:color w:val="000000"/>
                <w:kern w:val="0"/>
                <w:sz w:val="24"/>
                <w:szCs w:val="24"/>
              </w:rPr>
              <w:t>LO513</w:t>
            </w:r>
          </w:p>
        </w:tc>
        <w:tc>
          <w:tcPr>
            <w:tcW w:w="2470" w:type="dxa"/>
          </w:tcPr>
          <w:p>
            <w:pPr>
              <w:snapToGrid w:val="0"/>
              <w:spacing w:line="288" w:lineRule="auto"/>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能用创新的方法或者多种方法解决复杂问题或真实问题。</w:t>
            </w:r>
          </w:p>
        </w:tc>
        <w:tc>
          <w:tcPr>
            <w:tcW w:w="2199" w:type="dxa"/>
          </w:tcPr>
          <w:p>
            <w:pPr>
              <w:snapToGrid w:val="0"/>
              <w:spacing w:line="288" w:lineRule="auto"/>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指导学生进行日语输入，建议使用搜狗输入法。</w:t>
            </w:r>
          </w:p>
        </w:tc>
        <w:tc>
          <w:tcPr>
            <w:tcW w:w="1276" w:type="dxa"/>
          </w:tcPr>
          <w:p>
            <w:pPr>
              <w:snapToGrid w:val="0"/>
              <w:spacing w:line="288" w:lineRule="auto"/>
              <w:jc w:val="left"/>
              <w:rPr>
                <w:rFonts w:asciiTheme="majorEastAsia" w:hAnsiTheme="majorEastAsia" w:eastAsiaTheme="majorEastAsia" w:cstheme="majorEastAsia"/>
                <w:color w:val="000000"/>
                <w:kern w:val="0"/>
                <w:sz w:val="24"/>
                <w:szCs w:val="24"/>
              </w:rPr>
            </w:pPr>
          </w:p>
          <w:p>
            <w:pPr>
              <w:snapToGrid w:val="0"/>
              <w:spacing w:line="288" w:lineRule="auto"/>
              <w:ind w:firstLine="240" w:firstLineChars="100"/>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作业</w:t>
            </w:r>
          </w:p>
        </w:tc>
      </w:tr>
    </w:tbl>
    <w:p>
      <w:pPr>
        <w:widowControl/>
        <w:spacing w:beforeLines="50" w:afterLines="50" w:line="288" w:lineRule="auto"/>
        <w:jc w:val="left"/>
        <w:rPr>
          <w:rFonts w:ascii="宋体"/>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b/>
          <w:bCs/>
          <w:sz w:val="20"/>
          <w:szCs w:val="20"/>
        </w:rPr>
      </w:pPr>
      <w:r>
        <w:rPr>
          <w:bCs/>
          <w:sz w:val="20"/>
          <w:szCs w:val="20"/>
        </w:rPr>
        <w:t>此处</w:t>
      </w:r>
      <w:r>
        <w:rPr>
          <w:rFonts w:hint="eastAsia" w:ascii="宋体" w:hAnsi="宋体"/>
          <w:sz w:val="20"/>
          <w:szCs w:val="20"/>
        </w:rPr>
        <w:t>分单元</w:t>
      </w:r>
      <w:r>
        <w:rPr>
          <w:rFonts w:hint="eastAsia"/>
          <w:bCs/>
          <w:sz w:val="20"/>
          <w:szCs w:val="20"/>
        </w:rPr>
        <w:t>列出教学的知识点和能力要求。知识点</w:t>
      </w:r>
      <w:r>
        <w:rPr>
          <w:rFonts w:ascii="宋体" w:hAnsi="宋体"/>
          <w:sz w:val="20"/>
          <w:szCs w:val="20"/>
        </w:rPr>
        <w:t>用</w:t>
      </w:r>
      <w:r>
        <w:rPr>
          <w:rFonts w:hint="eastAsia" w:ascii="宋体" w:hAnsi="宋体"/>
          <w:sz w:val="20"/>
          <w:szCs w:val="20"/>
        </w:rPr>
        <w:t>认知能力的</w:t>
      </w:r>
      <w:r>
        <w:rPr>
          <w:rFonts w:hint="eastAsia" w:ascii="宋体" w:hAnsi="宋体"/>
          <w:bCs/>
          <w:sz w:val="20"/>
          <w:szCs w:val="20"/>
        </w:rPr>
        <w:t>6</w:t>
      </w:r>
      <w:r>
        <w:rPr>
          <w:rFonts w:hint="eastAsia" w:ascii="宋体" w:hAnsi="宋体"/>
          <w:sz w:val="20"/>
          <w:szCs w:val="20"/>
        </w:rPr>
        <w:t>种层次： (“</w:t>
      </w:r>
      <w:r>
        <w:rPr>
          <w:rFonts w:hint="eastAsia" w:ascii="宋体" w:hAnsi="宋体"/>
          <w:b/>
          <w:bCs/>
          <w:sz w:val="20"/>
          <w:szCs w:val="20"/>
        </w:rPr>
        <w:t>知道”、“理解”、“运用”、“分析”、“综合”、“评价”)</w:t>
      </w:r>
      <w:r>
        <w:rPr>
          <w:rFonts w:hint="eastAsia" w:ascii="宋体" w:hAnsi="宋体"/>
          <w:bCs/>
          <w:sz w:val="20"/>
          <w:szCs w:val="20"/>
        </w:rPr>
        <w:t>来</w:t>
      </w:r>
      <w:r>
        <w:rPr>
          <w:rFonts w:ascii="宋体" w:hAnsi="宋体"/>
          <w:sz w:val="20"/>
          <w:szCs w:val="20"/>
        </w:rPr>
        <w:t>表</w:t>
      </w:r>
      <w:r>
        <w:rPr>
          <w:rFonts w:hint="eastAsia" w:ascii="宋体" w:hAnsi="宋体"/>
          <w:sz w:val="20"/>
          <w:szCs w:val="20"/>
        </w:rPr>
        <w:t>达对学生学习要求上的差异</w:t>
      </w:r>
      <w:r>
        <w:rPr>
          <w:rFonts w:ascii="宋体" w:hAnsi="宋体"/>
          <w:sz w:val="20"/>
          <w:szCs w:val="20"/>
        </w:rPr>
        <w:t>。</w:t>
      </w:r>
      <w:r>
        <w:rPr>
          <w:rFonts w:hint="eastAsia" w:ascii="宋体" w:hAnsi="宋体"/>
          <w:sz w:val="20"/>
          <w:szCs w:val="20"/>
        </w:rPr>
        <w:t>能力要求必须选用合适的行为动词来表达。用文字说明教学的难点所在，</w:t>
      </w:r>
      <w:r>
        <w:rPr>
          <w:rFonts w:hint="eastAsia" w:ascii="宋体" w:hAnsi="宋体"/>
          <w:b/>
          <w:bCs/>
          <w:sz w:val="20"/>
          <w:szCs w:val="20"/>
        </w:rPr>
        <w:t>并标明每个单元的理论课时数和实践课时数。</w:t>
      </w:r>
    </w:p>
    <w:p>
      <w:pPr>
        <w:snapToGrid w:val="0"/>
        <w:spacing w:line="288" w:lineRule="auto"/>
        <w:ind w:firstLine="400" w:firstLineChars="200"/>
        <w:rPr>
          <w:sz w:val="20"/>
          <w:szCs w:val="20"/>
        </w:rPr>
      </w:pPr>
      <w:r>
        <w:rPr>
          <w:rFonts w:hint="eastAsia"/>
          <w:sz w:val="20"/>
          <w:szCs w:val="20"/>
          <w:lang w:eastAsia="ja-JP"/>
        </w:rPr>
        <w:t>本</w:t>
      </w:r>
      <w:r>
        <w:rPr>
          <w:rFonts w:hint="eastAsia"/>
          <w:sz w:val="20"/>
          <w:szCs w:val="20"/>
        </w:rPr>
        <w:t>课程</w:t>
      </w:r>
      <w:r>
        <w:rPr>
          <w:rFonts w:hint="eastAsia"/>
          <w:sz w:val="20"/>
          <w:szCs w:val="20"/>
          <w:lang w:eastAsia="ja-JP"/>
        </w:rPr>
        <w:t>每周2个学时，总共16周32学时。</w:t>
      </w:r>
      <w:r>
        <w:rPr>
          <w:rFonts w:hint="eastAsia"/>
          <w:sz w:val="20"/>
          <w:szCs w:val="20"/>
        </w:rPr>
        <w:t>每课的基本内容由单词、语法、内容、总结、练习构成。每个版块分配时间：</w:t>
      </w:r>
    </w:p>
    <w:p>
      <w:pPr>
        <w:snapToGrid w:val="0"/>
        <w:spacing w:line="288" w:lineRule="auto"/>
        <w:ind w:firstLine="400" w:firstLineChars="200"/>
        <w:rPr>
          <w:sz w:val="20"/>
          <w:szCs w:val="20"/>
        </w:rPr>
      </w:pPr>
      <w:r>
        <w:rPr>
          <w:rFonts w:hint="eastAsia"/>
          <w:sz w:val="20"/>
          <w:szCs w:val="20"/>
        </w:rPr>
        <w:t xml:space="preserve">单词   </w:t>
      </w:r>
      <w:r>
        <w:rPr>
          <w:rFonts w:hint="eastAsia"/>
          <w:sz w:val="20"/>
          <w:szCs w:val="20"/>
        </w:rPr>
        <w:tab/>
      </w:r>
      <w:r>
        <w:rPr>
          <w:rFonts w:hint="eastAsia"/>
          <w:sz w:val="20"/>
          <w:szCs w:val="20"/>
        </w:rPr>
        <w:tab/>
      </w:r>
      <w:r>
        <w:rPr>
          <w:rFonts w:hint="eastAsia"/>
          <w:sz w:val="20"/>
          <w:szCs w:val="20"/>
        </w:rPr>
        <w:t>15分钟</w:t>
      </w:r>
    </w:p>
    <w:p>
      <w:pPr>
        <w:snapToGrid w:val="0"/>
        <w:spacing w:line="288" w:lineRule="auto"/>
        <w:ind w:firstLine="400" w:firstLineChars="200"/>
        <w:rPr>
          <w:sz w:val="20"/>
          <w:szCs w:val="20"/>
        </w:rPr>
      </w:pPr>
      <w:r>
        <w:rPr>
          <w:rFonts w:hint="eastAsia"/>
          <w:sz w:val="20"/>
          <w:szCs w:val="20"/>
        </w:rPr>
        <w:t xml:space="preserve">语法   </w:t>
      </w:r>
      <w:r>
        <w:rPr>
          <w:rFonts w:hint="eastAsia"/>
          <w:sz w:val="20"/>
          <w:szCs w:val="20"/>
        </w:rPr>
        <w:tab/>
      </w:r>
      <w:r>
        <w:rPr>
          <w:rFonts w:hint="eastAsia"/>
          <w:sz w:val="20"/>
          <w:szCs w:val="20"/>
        </w:rPr>
        <w:tab/>
      </w:r>
      <w:r>
        <w:rPr>
          <w:rFonts w:hint="eastAsia"/>
          <w:sz w:val="20"/>
          <w:szCs w:val="20"/>
        </w:rPr>
        <w:t>15分钟</w:t>
      </w:r>
    </w:p>
    <w:p>
      <w:pPr>
        <w:snapToGrid w:val="0"/>
        <w:spacing w:line="288" w:lineRule="auto"/>
        <w:ind w:firstLine="400" w:firstLineChars="200"/>
        <w:rPr>
          <w:sz w:val="20"/>
          <w:szCs w:val="20"/>
        </w:rPr>
      </w:pPr>
      <w:r>
        <w:rPr>
          <w:rFonts w:hint="eastAsia"/>
          <w:sz w:val="20"/>
          <w:szCs w:val="20"/>
        </w:rPr>
        <w:t xml:space="preserve">内容1A  </w:t>
      </w:r>
      <w:r>
        <w:rPr>
          <w:rFonts w:hint="eastAsia"/>
          <w:sz w:val="20"/>
          <w:szCs w:val="20"/>
        </w:rPr>
        <w:tab/>
      </w:r>
      <w:r>
        <w:rPr>
          <w:rFonts w:hint="eastAsia"/>
          <w:sz w:val="20"/>
          <w:szCs w:val="20"/>
        </w:rPr>
        <w:t>20分钟</w:t>
      </w:r>
    </w:p>
    <w:p>
      <w:pPr>
        <w:snapToGrid w:val="0"/>
        <w:spacing w:line="288" w:lineRule="auto"/>
        <w:ind w:firstLine="400" w:firstLineChars="200"/>
        <w:rPr>
          <w:sz w:val="20"/>
          <w:szCs w:val="20"/>
        </w:rPr>
      </w:pPr>
      <w:r>
        <w:rPr>
          <w:rFonts w:hint="eastAsia"/>
          <w:sz w:val="20"/>
          <w:szCs w:val="20"/>
        </w:rPr>
        <w:t xml:space="preserve">内容1B  </w:t>
      </w:r>
      <w:r>
        <w:rPr>
          <w:rFonts w:hint="eastAsia"/>
          <w:sz w:val="20"/>
          <w:szCs w:val="20"/>
        </w:rPr>
        <w:tab/>
      </w:r>
      <w:r>
        <w:rPr>
          <w:rFonts w:hint="eastAsia"/>
          <w:sz w:val="20"/>
          <w:szCs w:val="20"/>
        </w:rPr>
        <w:t>20分钟</w:t>
      </w:r>
    </w:p>
    <w:p>
      <w:pPr>
        <w:snapToGrid w:val="0"/>
        <w:spacing w:line="288" w:lineRule="auto"/>
        <w:ind w:firstLine="400" w:firstLineChars="200"/>
        <w:rPr>
          <w:sz w:val="20"/>
          <w:szCs w:val="20"/>
        </w:rPr>
      </w:pPr>
      <w:r>
        <w:rPr>
          <w:rFonts w:hint="eastAsia"/>
          <w:sz w:val="20"/>
          <w:szCs w:val="20"/>
        </w:rPr>
        <w:t xml:space="preserve">内容2 </w:t>
      </w:r>
      <w:r>
        <w:rPr>
          <w:rFonts w:hint="eastAsia"/>
          <w:sz w:val="20"/>
          <w:szCs w:val="20"/>
        </w:rPr>
        <w:tab/>
      </w:r>
      <w:r>
        <w:rPr>
          <w:rFonts w:hint="eastAsia"/>
          <w:sz w:val="20"/>
          <w:szCs w:val="20"/>
        </w:rPr>
        <w:tab/>
      </w:r>
      <w:r>
        <w:rPr>
          <w:rFonts w:hint="eastAsia"/>
          <w:sz w:val="20"/>
          <w:szCs w:val="20"/>
        </w:rPr>
        <w:t>20分钟</w:t>
      </w:r>
    </w:p>
    <w:p>
      <w:pPr>
        <w:snapToGrid w:val="0"/>
        <w:spacing w:line="288" w:lineRule="auto"/>
        <w:ind w:firstLine="400" w:firstLineChars="200"/>
        <w:rPr>
          <w:bCs/>
          <w:sz w:val="20"/>
          <w:szCs w:val="20"/>
        </w:rPr>
      </w:pPr>
      <w:r>
        <w:rPr>
          <w:rFonts w:hint="eastAsia"/>
          <w:bCs/>
          <w:sz w:val="20"/>
          <w:szCs w:val="20"/>
        </w:rPr>
        <w:t>每课具体要求见下表：</w:t>
      </w:r>
    </w:p>
    <w:tbl>
      <w:tblPr>
        <w:tblStyle w:val="5"/>
        <w:tblW w:w="793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课文构成：</w:t>
            </w:r>
          </w:p>
        </w:tc>
        <w:tc>
          <w:tcPr>
            <w:tcW w:w="1843"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认知能力（6层次）</w:t>
            </w:r>
          </w:p>
        </w:tc>
        <w:tc>
          <w:tcPr>
            <w:tcW w:w="4536"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单词</w:t>
            </w:r>
          </w:p>
        </w:tc>
        <w:tc>
          <w:tcPr>
            <w:tcW w:w="1843"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L1知道</w:t>
            </w:r>
          </w:p>
        </w:tc>
        <w:tc>
          <w:tcPr>
            <w:tcW w:w="4536" w:type="dxa"/>
            <w:shd w:val="clear" w:color="auto" w:fill="auto"/>
            <w:vAlign w:val="center"/>
          </w:tcPr>
          <w:p>
            <w:pPr>
              <w:snapToGrid w:val="0"/>
              <w:spacing w:line="288" w:lineRule="auto"/>
              <w:jc w:val="left"/>
              <w:rPr>
                <w:rFonts w:ascii="Times New Roman" w:hAnsi="Times New Roman"/>
                <w:bCs/>
                <w:sz w:val="20"/>
                <w:szCs w:val="20"/>
              </w:rPr>
            </w:pPr>
            <w:r>
              <w:rPr>
                <w:rFonts w:hint="eastAsia" w:ascii="Times New Roman" w:hAnsi="Times New Roman"/>
                <w:bCs/>
                <w:sz w:val="20"/>
                <w:szCs w:val="20"/>
              </w:rPr>
              <w:t>熟记单词的语义与用法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语法</w:t>
            </w:r>
          </w:p>
        </w:tc>
        <w:tc>
          <w:tcPr>
            <w:tcW w:w="1843"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L3运用</w:t>
            </w:r>
          </w:p>
        </w:tc>
        <w:tc>
          <w:tcPr>
            <w:tcW w:w="4536" w:type="dxa"/>
            <w:shd w:val="clear" w:color="auto" w:fill="auto"/>
            <w:vAlign w:val="center"/>
          </w:tcPr>
          <w:p>
            <w:pPr>
              <w:snapToGrid w:val="0"/>
              <w:spacing w:line="288" w:lineRule="auto"/>
              <w:jc w:val="left"/>
              <w:rPr>
                <w:rFonts w:ascii="Times New Roman" w:hAnsi="Times New Roman"/>
                <w:bCs/>
                <w:sz w:val="20"/>
                <w:szCs w:val="20"/>
              </w:rPr>
            </w:pPr>
            <w:r>
              <w:rPr>
                <w:rFonts w:hint="eastAsia" w:ascii="Times New Roman" w:hAnsi="Times New Roman"/>
                <w:bCs/>
                <w:sz w:val="20"/>
                <w:szCs w:val="20"/>
              </w:rPr>
              <w:t>熟记的基础上加以理解及运用。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9"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内容</w:t>
            </w:r>
            <w:r>
              <w:rPr>
                <w:rFonts w:hint="eastAsia"/>
                <w:sz w:val="20"/>
                <w:szCs w:val="20"/>
              </w:rPr>
              <w:t>1A</w:t>
            </w:r>
          </w:p>
        </w:tc>
        <w:tc>
          <w:tcPr>
            <w:tcW w:w="1843"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L2理解</w:t>
            </w:r>
          </w:p>
        </w:tc>
        <w:tc>
          <w:tcPr>
            <w:tcW w:w="4536" w:type="dxa"/>
            <w:shd w:val="clear" w:color="auto" w:fill="auto"/>
            <w:vAlign w:val="center"/>
          </w:tcPr>
          <w:p>
            <w:pPr>
              <w:snapToGrid w:val="0"/>
              <w:spacing w:line="288" w:lineRule="auto"/>
              <w:jc w:val="left"/>
              <w:rPr>
                <w:rFonts w:ascii="Times New Roman" w:hAnsi="Times New Roman"/>
                <w:bCs/>
                <w:sz w:val="20"/>
                <w:szCs w:val="20"/>
              </w:rPr>
            </w:pPr>
            <w:r>
              <w:rPr>
                <w:rFonts w:hint="eastAsia" w:ascii="Times New Roman" w:hAnsi="Times New Roman"/>
                <w:bCs/>
                <w:sz w:val="20"/>
                <w:szCs w:val="20"/>
              </w:rPr>
              <w:t>要求复述，根据视听内容回答提问。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auto"/>
            <w:vAlign w:val="center"/>
          </w:tcPr>
          <w:p>
            <w:pPr>
              <w:snapToGrid w:val="0"/>
              <w:spacing w:line="288" w:lineRule="auto"/>
              <w:jc w:val="center"/>
              <w:rPr>
                <w:rFonts w:ascii="Times New Roman" w:hAnsi="Times New Roman"/>
                <w:bCs/>
                <w:sz w:val="20"/>
                <w:szCs w:val="20"/>
              </w:rPr>
            </w:pPr>
            <w:r>
              <w:rPr>
                <w:rFonts w:hint="eastAsia"/>
                <w:sz w:val="20"/>
                <w:szCs w:val="20"/>
              </w:rPr>
              <w:t>内容1B</w:t>
            </w:r>
          </w:p>
        </w:tc>
        <w:tc>
          <w:tcPr>
            <w:tcW w:w="1843"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L3运用</w:t>
            </w:r>
          </w:p>
        </w:tc>
        <w:tc>
          <w:tcPr>
            <w:tcW w:w="4536" w:type="dxa"/>
            <w:shd w:val="clear" w:color="auto" w:fill="auto"/>
            <w:vAlign w:val="center"/>
          </w:tcPr>
          <w:p>
            <w:pPr>
              <w:snapToGrid w:val="0"/>
              <w:spacing w:line="288" w:lineRule="auto"/>
              <w:jc w:val="left"/>
              <w:rPr>
                <w:rFonts w:ascii="Times New Roman" w:hAnsi="Times New Roman"/>
                <w:bCs/>
                <w:sz w:val="20"/>
                <w:szCs w:val="20"/>
              </w:rPr>
            </w:pPr>
            <w:r>
              <w:rPr>
                <w:rFonts w:hint="eastAsia" w:ascii="Times New Roman" w:hAnsi="Times New Roman"/>
                <w:bCs/>
                <w:sz w:val="20"/>
                <w:szCs w:val="20"/>
              </w:rPr>
              <w:t>要求复述，根据视听内容回答提问。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shd w:val="clear" w:color="auto" w:fill="auto"/>
            <w:vAlign w:val="center"/>
          </w:tcPr>
          <w:p>
            <w:pPr>
              <w:snapToGrid w:val="0"/>
              <w:spacing w:line="288" w:lineRule="auto"/>
              <w:jc w:val="center"/>
              <w:rPr>
                <w:rFonts w:ascii="Times New Roman" w:hAnsi="Times New Roman"/>
                <w:bCs/>
                <w:sz w:val="20"/>
                <w:szCs w:val="20"/>
              </w:rPr>
            </w:pPr>
            <w:r>
              <w:rPr>
                <w:rFonts w:hint="eastAsia"/>
                <w:sz w:val="20"/>
                <w:szCs w:val="20"/>
              </w:rPr>
              <w:t>内容2</w:t>
            </w:r>
          </w:p>
        </w:tc>
        <w:tc>
          <w:tcPr>
            <w:tcW w:w="1843" w:type="dxa"/>
            <w:shd w:val="clear" w:color="auto" w:fill="auto"/>
            <w:vAlign w:val="center"/>
          </w:tcPr>
          <w:p>
            <w:pPr>
              <w:snapToGrid w:val="0"/>
              <w:spacing w:line="288" w:lineRule="auto"/>
              <w:jc w:val="center"/>
              <w:rPr>
                <w:rFonts w:ascii="Times New Roman" w:hAnsi="Times New Roman"/>
                <w:bCs/>
                <w:sz w:val="20"/>
                <w:szCs w:val="20"/>
              </w:rPr>
            </w:pPr>
            <w:r>
              <w:rPr>
                <w:rFonts w:hint="eastAsia" w:ascii="Times New Roman" w:hAnsi="Times New Roman"/>
                <w:bCs/>
                <w:sz w:val="20"/>
                <w:szCs w:val="20"/>
              </w:rPr>
              <w:t>L3运用</w:t>
            </w:r>
          </w:p>
        </w:tc>
        <w:tc>
          <w:tcPr>
            <w:tcW w:w="4536" w:type="dxa"/>
            <w:shd w:val="clear" w:color="auto" w:fill="auto"/>
            <w:vAlign w:val="center"/>
          </w:tcPr>
          <w:p>
            <w:pPr>
              <w:snapToGrid w:val="0"/>
              <w:spacing w:line="288" w:lineRule="auto"/>
              <w:jc w:val="left"/>
              <w:rPr>
                <w:rFonts w:ascii="Times New Roman" w:hAnsi="Times New Roman"/>
                <w:bCs/>
                <w:sz w:val="20"/>
                <w:szCs w:val="20"/>
              </w:rPr>
            </w:pPr>
            <w:r>
              <w:rPr>
                <w:rFonts w:hint="eastAsia" w:ascii="Times New Roman" w:hAnsi="Times New Roman"/>
                <w:bCs/>
                <w:sz w:val="20"/>
                <w:szCs w:val="20"/>
              </w:rPr>
              <w:t>通过音频内容完成句子。</w:t>
            </w:r>
          </w:p>
        </w:tc>
      </w:tr>
    </w:tbl>
    <w:p>
      <w:pPr>
        <w:snapToGrid w:val="0"/>
        <w:spacing w:line="288" w:lineRule="auto"/>
        <w:ind w:firstLine="400" w:firstLineChars="200"/>
        <w:rPr>
          <w:sz w:val="20"/>
          <w:szCs w:val="20"/>
        </w:rPr>
      </w:pPr>
    </w:p>
    <w:p>
      <w:pPr>
        <w:widowControl/>
        <w:ind w:firstLine="400" w:firstLineChars="200"/>
        <w:jc w:val="left"/>
        <w:rPr>
          <w:rFonts w:ascii="宋体" w:hAnsi="宋体" w:cs="宋体"/>
          <w:kern w:val="0"/>
          <w:sz w:val="20"/>
          <w:szCs w:val="20"/>
        </w:rPr>
      </w:pPr>
      <w:r>
        <w:rPr>
          <w:rFonts w:hint="eastAsia" w:ascii="宋体" w:hAnsi="宋体" w:cs="宋体"/>
          <w:kern w:val="0"/>
          <w:sz w:val="20"/>
          <w:szCs w:val="20"/>
        </w:rPr>
        <w:t>1、让学生在复习和巩固基础语法的同时，观看各种场景的日语片段，要求学生能够正确地理解场景内容的要点并用日语准确地表述这些要点。</w:t>
      </w:r>
    </w:p>
    <w:p>
      <w:pPr>
        <w:widowControl/>
        <w:ind w:firstLine="400" w:firstLineChars="200"/>
        <w:jc w:val="left"/>
        <w:rPr>
          <w:rFonts w:ascii="宋体" w:hAnsi="宋体" w:cs="宋体"/>
          <w:kern w:val="0"/>
          <w:sz w:val="20"/>
          <w:szCs w:val="20"/>
        </w:rPr>
      </w:pPr>
      <w:r>
        <w:rPr>
          <w:rFonts w:hint="eastAsia" w:ascii="宋体" w:hAnsi="宋体" w:cs="宋体"/>
          <w:kern w:val="0"/>
          <w:sz w:val="20"/>
          <w:szCs w:val="20"/>
        </w:rPr>
        <w:t>2、课堂上观看日文原版节目（影视、新闻等），鼓励学生在课后主动观看日文原版节目，提高听说的综合能力，积极扩大词汇量。</w:t>
      </w:r>
    </w:p>
    <w:p>
      <w:pPr>
        <w:snapToGrid w:val="0"/>
        <w:spacing w:line="288" w:lineRule="auto"/>
        <w:rPr>
          <w:rFonts w:ascii="宋体" w:hAnsi="宋体"/>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七、实践环节各阶段名称及基本要求</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p>
      <w:pPr>
        <w:snapToGrid w:val="0"/>
        <w:spacing w:line="288" w:lineRule="auto"/>
        <w:ind w:right="2520"/>
        <w:rPr>
          <w:rFonts w:ascii="黑体" w:hAnsi="宋体" w:eastAsia="黑体"/>
          <w:sz w:val="24"/>
        </w:rPr>
      </w:pPr>
    </w:p>
    <w:tbl>
      <w:tblPr>
        <w:tblStyle w:val="5"/>
        <w:tblW w:w="8368" w:type="dxa"/>
        <w:jc w:val="center"/>
        <w:tblLayout w:type="fixed"/>
        <w:tblCellMar>
          <w:top w:w="0" w:type="dxa"/>
          <w:left w:w="0" w:type="dxa"/>
          <w:bottom w:w="0" w:type="dxa"/>
          <w:right w:w="0" w:type="dxa"/>
        </w:tblCellMar>
      </w:tblPr>
      <w:tblGrid>
        <w:gridCol w:w="841"/>
        <w:gridCol w:w="1701"/>
        <w:gridCol w:w="4961"/>
        <w:gridCol w:w="865"/>
      </w:tblGrid>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Theme="minorEastAsia" w:hAnsiTheme="minorEastAsia" w:eastAsiaTheme="minorEastAsia"/>
                <w:kern w:val="0"/>
              </w:rPr>
            </w:pPr>
            <w:r>
              <w:rPr>
                <w:rFonts w:hint="eastAsia" w:asciiTheme="minorEastAsia" w:hAnsiTheme="minorEastAsia" w:eastAsiaTheme="minorEastAsia"/>
              </w:rPr>
              <w:t>序号</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Theme="minorEastAsia" w:hAnsiTheme="minorEastAsia" w:eastAsiaTheme="minorEastAsia"/>
                <w:kern w:val="0"/>
              </w:rPr>
            </w:pPr>
            <w:r>
              <w:rPr>
                <w:rFonts w:hint="eastAsia" w:asciiTheme="minorEastAsia" w:hAnsiTheme="minorEastAsia" w:eastAsiaTheme="minorEastAsia"/>
              </w:rPr>
              <w:t>各阶段名称</w:t>
            </w:r>
          </w:p>
        </w:tc>
        <w:tc>
          <w:tcPr>
            <w:tcW w:w="4961" w:type="dxa"/>
            <w:tcBorders>
              <w:top w:val="single" w:color="000000" w:sz="8" w:space="0"/>
              <w:left w:val="single" w:color="000000" w:sz="8" w:space="0"/>
              <w:bottom w:val="single" w:color="000000" w:sz="8" w:space="0"/>
              <w:right w:val="single" w:color="000000" w:sz="8" w:space="0"/>
            </w:tcBorders>
            <w:vAlign w:val="center"/>
          </w:tcPr>
          <w:p>
            <w:pPr>
              <w:snapToGrid w:val="0"/>
              <w:spacing w:line="240" w:lineRule="exact"/>
              <w:jc w:val="center"/>
              <w:rPr>
                <w:rFonts w:asciiTheme="minorEastAsia" w:hAnsiTheme="minorEastAsia" w:eastAsiaTheme="minorEastAsia"/>
              </w:rPr>
            </w:pPr>
            <w:r>
              <w:rPr>
                <w:rFonts w:hint="eastAsia" w:asciiTheme="minorEastAsia" w:hAnsiTheme="minorEastAsia" w:eastAsiaTheme="minorEastAsia"/>
              </w:rPr>
              <w:t>实践主要内容</w:t>
            </w:r>
          </w:p>
        </w:tc>
        <w:tc>
          <w:tcPr>
            <w:tcW w:w="865" w:type="dxa"/>
            <w:tcBorders>
              <w:top w:val="single" w:color="000000" w:sz="8" w:space="0"/>
              <w:left w:val="single" w:color="000000" w:sz="8" w:space="0"/>
              <w:bottom w:val="single" w:color="000000" w:sz="8" w:space="0"/>
              <w:right w:val="single" w:color="000000" w:sz="8" w:space="0"/>
            </w:tcBorders>
            <w:vAlign w:val="center"/>
          </w:tcPr>
          <w:p>
            <w:pPr>
              <w:snapToGrid w:val="0"/>
              <w:spacing w:line="240" w:lineRule="exact"/>
              <w:jc w:val="center"/>
              <w:rPr>
                <w:rFonts w:asciiTheme="minorEastAsia" w:hAnsiTheme="minorEastAsia" w:eastAsiaTheme="minorEastAsia"/>
              </w:rPr>
            </w:pPr>
            <w:r>
              <w:rPr>
                <w:rFonts w:hint="eastAsia" w:asciiTheme="minorEastAsia" w:hAnsiTheme="minorEastAsia" w:eastAsiaTheme="minorEastAsia"/>
              </w:rPr>
              <w:t>课时</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1</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asciiTheme="minorEastAsia" w:hAnsiTheme="minorEastAsia" w:eastAsiaTheme="minorEastAsia"/>
              </w:rPr>
              <w:t>恋爱</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看青年恋爱视频并复述内容回答问题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2</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asciiTheme="minorEastAsia" w:hAnsiTheme="minorEastAsia" w:eastAsiaTheme="minorEastAsia"/>
              </w:rPr>
              <w:t>关爱</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看疾病关爱视频并复述内容回答问题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3</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asciiTheme="minorEastAsia" w:hAnsiTheme="minorEastAsia" w:eastAsiaTheme="minorEastAsia"/>
              </w:rPr>
              <w:t>命运</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看命运安排视频并复述内容回答问题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4</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asciiTheme="minorEastAsia" w:hAnsiTheme="minorEastAsia" w:eastAsiaTheme="minorEastAsia"/>
              </w:rPr>
              <w:t>料理</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看研究烹调视频并复述内容回答问题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lang w:eastAsia="ja-JP"/>
              </w:rPr>
            </w:pPr>
            <w:r>
              <w:rPr>
                <w:rFonts w:hint="eastAsia" w:asciiTheme="minorEastAsia" w:hAnsiTheme="minorEastAsia" w:eastAsiaTheme="minorEastAsia"/>
              </w:rPr>
              <w:t>4</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5</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asciiTheme="minorEastAsia" w:hAnsiTheme="minorEastAsia" w:eastAsiaTheme="minorEastAsia"/>
              </w:rPr>
              <w:t>工作</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看努力工作视频并复述内容回答问题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6</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cs="微软雅黑" w:asciiTheme="minorEastAsia" w:hAnsiTheme="minorEastAsia" w:eastAsiaTheme="minorEastAsia"/>
              </w:rPr>
              <w:t>道歉</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w:t>
            </w:r>
            <w:r>
              <w:rPr>
                <w:rFonts w:hint="eastAsia" w:cs="微软雅黑" w:asciiTheme="minorEastAsia" w:hAnsiTheme="minorEastAsia" w:eastAsiaTheme="minorEastAsia"/>
              </w:rPr>
              <w:t>要求道歉</w:t>
            </w:r>
            <w:r>
              <w:rPr>
                <w:rFonts w:hint="eastAsia" w:asciiTheme="minorEastAsia" w:hAnsiTheme="minorEastAsia" w:eastAsiaTheme="minorEastAsia"/>
              </w:rPr>
              <w:t>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7</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asciiTheme="minorEastAsia" w:hAnsiTheme="minorEastAsia" w:eastAsiaTheme="minorEastAsia"/>
              </w:rPr>
              <w:t>侦探</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看警察侦探视频并复述内容回答问题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r>
      <w:tr>
        <w:tblPrEx>
          <w:tblCellMar>
            <w:top w:w="0" w:type="dxa"/>
            <w:left w:w="0" w:type="dxa"/>
            <w:bottom w:w="0" w:type="dxa"/>
            <w:right w:w="0" w:type="dxa"/>
          </w:tblCellMar>
        </w:tblPrEx>
        <w:trPr>
          <w:trHeight w:val="497" w:hRule="atLeast"/>
          <w:jc w:val="center"/>
        </w:trPr>
        <w:tc>
          <w:tcPr>
            <w:tcW w:w="84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cs="Arial" w:asciiTheme="minorEastAsia" w:hAnsiTheme="minorEastAsia" w:eastAsiaTheme="minorEastAsia"/>
                <w:kern w:val="0"/>
              </w:rPr>
            </w:pPr>
            <w:r>
              <w:rPr>
                <w:rFonts w:hint="eastAsia" w:asciiTheme="minorEastAsia" w:hAnsiTheme="minorEastAsia" w:eastAsiaTheme="minorEastAsia"/>
                <w:color w:val="000000"/>
              </w:rPr>
              <w:t>8</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jc w:val="center"/>
              <w:rPr>
                <w:rFonts w:asciiTheme="minorEastAsia" w:hAnsiTheme="minorEastAsia" w:eastAsiaTheme="minorEastAsia"/>
              </w:rPr>
            </w:pPr>
            <w:r>
              <w:rPr>
                <w:rFonts w:hint="eastAsia" w:asciiTheme="minorEastAsia" w:hAnsiTheme="minorEastAsia" w:eastAsiaTheme="minorEastAsia"/>
              </w:rPr>
              <w:t>悬疑</w:t>
            </w:r>
          </w:p>
        </w:tc>
        <w:tc>
          <w:tcPr>
            <w:tcW w:w="4961" w:type="dxa"/>
            <w:tcBorders>
              <w:top w:val="single" w:color="000000" w:sz="8" w:space="0"/>
              <w:left w:val="single" w:color="000000" w:sz="8" w:space="0"/>
              <w:bottom w:val="single" w:color="000000" w:sz="8" w:space="0"/>
              <w:right w:val="single" w:color="000000" w:sz="8" w:space="0"/>
            </w:tcBorders>
            <w:vAlign w:val="center"/>
          </w:tcPr>
          <w:p>
            <w:pPr>
              <w:ind w:firstLine="630" w:firstLineChars="300"/>
              <w:jc w:val="left"/>
              <w:rPr>
                <w:rFonts w:asciiTheme="minorEastAsia" w:hAnsiTheme="minorEastAsia" w:eastAsiaTheme="minorEastAsia"/>
              </w:rPr>
            </w:pPr>
            <w:r>
              <w:rPr>
                <w:rFonts w:hint="eastAsia" w:asciiTheme="minorEastAsia" w:hAnsiTheme="minorEastAsia" w:eastAsiaTheme="minorEastAsia"/>
              </w:rPr>
              <w:t>看悬疑事件视频并复述内容回答问题</w:t>
            </w:r>
          </w:p>
        </w:tc>
        <w:tc>
          <w:tcPr>
            <w:tcW w:w="865" w:type="dxa"/>
            <w:tcBorders>
              <w:top w:val="single" w:color="000000" w:sz="8" w:space="0"/>
              <w:left w:val="single" w:color="000000" w:sz="8" w:space="0"/>
              <w:bottom w:val="single" w:color="000000" w:sz="8" w:space="0"/>
              <w:right w:val="single" w:color="000000" w:sz="8"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r>
    </w:tbl>
    <w:p>
      <w:pPr>
        <w:widowControl/>
        <w:spacing w:beforeLines="50" w:afterLines="50" w:line="288" w:lineRule="auto"/>
        <w:jc w:val="left"/>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szCs w:val="24"/>
        </w:rPr>
      </w:pPr>
      <w:r>
        <w:rPr>
          <w:rFonts w:hint="eastAsia" w:ascii="黑体" w:hAnsi="宋体" w:eastAsia="黑体" w:cs="黑体"/>
          <w:sz w:val="24"/>
          <w:szCs w:val="24"/>
        </w:rPr>
        <w:t>八、评价方式与成绩</w:t>
      </w:r>
    </w:p>
    <w:tbl>
      <w:tblPr>
        <w:tblStyle w:val="5"/>
        <w:tblW w:w="87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Lines="50" w:afterLines="50"/>
              <w:rPr>
                <w:rFonts w:ascii="宋体"/>
              </w:rPr>
            </w:pPr>
            <w:r>
              <w:rPr>
                <w:rFonts w:hint="eastAsia" w:ascii="宋体" w:hAnsi="宋体" w:cs="宋体"/>
              </w:rPr>
              <w:t>总评构成（</w:t>
            </w:r>
            <w:r>
              <w:rPr>
                <w:rFonts w:ascii="宋体" w:hAnsi="宋体" w:cs="宋体"/>
              </w:rPr>
              <w:t>1+X</w:t>
            </w:r>
            <w:r>
              <w:rPr>
                <w:rFonts w:hint="eastAsia" w:ascii="宋体" w:hAnsi="宋体" w:cs="宋体"/>
              </w:rPr>
              <w:t>）</w:t>
            </w:r>
          </w:p>
        </w:tc>
        <w:tc>
          <w:tcPr>
            <w:tcW w:w="5103" w:type="dxa"/>
            <w:tcBorders>
              <w:left w:val="nil"/>
            </w:tcBorders>
          </w:tcPr>
          <w:p>
            <w:pPr>
              <w:snapToGrid w:val="0"/>
              <w:spacing w:beforeLines="50" w:afterLines="50"/>
              <w:jc w:val="center"/>
              <w:rPr>
                <w:rFonts w:ascii="宋体"/>
              </w:rPr>
            </w:pPr>
            <w:r>
              <w:rPr>
                <w:rFonts w:hint="eastAsia" w:ascii="宋体" w:hAnsi="宋体" w:cs="宋体"/>
              </w:rPr>
              <w:t>评价方式</w:t>
            </w:r>
          </w:p>
        </w:tc>
        <w:tc>
          <w:tcPr>
            <w:tcW w:w="1843" w:type="dxa"/>
            <w:tcBorders>
              <w:left w:val="nil"/>
            </w:tcBorders>
          </w:tcPr>
          <w:p>
            <w:pPr>
              <w:snapToGrid w:val="0"/>
              <w:spacing w:beforeLines="50" w:afterLines="50"/>
              <w:jc w:val="center"/>
              <w:rPr>
                <w:rFonts w:ascii="宋体"/>
              </w:rPr>
            </w:pPr>
            <w:r>
              <w:rPr>
                <w:rFonts w:hint="eastAsia" w:ascii="宋体" w:hAnsi="宋体" w:cs="宋体"/>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Lines="50" w:afterLines="50"/>
              <w:jc w:val="center"/>
              <w:rPr>
                <w:rFonts w:ascii="宋体"/>
              </w:rPr>
            </w:pPr>
            <w:r>
              <w:rPr>
                <w:rFonts w:ascii="宋体" w:hAnsi="宋体" w:cs="宋体"/>
              </w:rPr>
              <w:t>1</w:t>
            </w:r>
          </w:p>
        </w:tc>
        <w:tc>
          <w:tcPr>
            <w:tcW w:w="5103" w:type="dxa"/>
            <w:tcBorders>
              <w:left w:val="nil"/>
            </w:tcBorders>
          </w:tcPr>
          <w:p>
            <w:pPr>
              <w:snapToGrid w:val="0"/>
              <w:spacing w:beforeLines="50" w:afterLines="50"/>
              <w:jc w:val="center"/>
              <w:rPr>
                <w:rFonts w:ascii="宋体"/>
              </w:rPr>
            </w:pPr>
            <w:r>
              <w:rPr>
                <w:rFonts w:hint="eastAsia" w:ascii="宋体" w:hAnsi="宋体" w:cs="宋体"/>
              </w:rPr>
              <w:t>闭卷考试</w:t>
            </w:r>
          </w:p>
        </w:tc>
        <w:tc>
          <w:tcPr>
            <w:tcW w:w="1843" w:type="dxa"/>
            <w:tcBorders>
              <w:left w:val="nil"/>
            </w:tcBorders>
          </w:tcPr>
          <w:p>
            <w:pPr>
              <w:snapToGrid w:val="0"/>
              <w:spacing w:beforeLines="50" w:afterLines="50"/>
              <w:jc w:val="center"/>
              <w:rPr>
                <w:rFonts w:ascii="宋体"/>
              </w:rPr>
            </w:pPr>
            <w:r>
              <w:rPr>
                <w:rFonts w:ascii="宋体" w:hAnsi="宋体" w:cs="宋体"/>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Lines="50" w:afterLines="50"/>
              <w:jc w:val="center"/>
              <w:rPr>
                <w:rFonts w:ascii="宋体"/>
              </w:rPr>
            </w:pPr>
            <w:r>
              <w:rPr>
                <w:rFonts w:ascii="宋体" w:hAnsi="宋体" w:cs="宋体"/>
              </w:rPr>
              <w:t>X1</w:t>
            </w:r>
          </w:p>
        </w:tc>
        <w:tc>
          <w:tcPr>
            <w:tcW w:w="5103" w:type="dxa"/>
            <w:tcBorders>
              <w:left w:val="nil"/>
            </w:tcBorders>
          </w:tcPr>
          <w:p>
            <w:pPr>
              <w:snapToGrid w:val="0"/>
              <w:spacing w:beforeLines="50" w:afterLines="50"/>
              <w:jc w:val="center"/>
              <w:rPr>
                <w:rFonts w:ascii="宋体"/>
              </w:rPr>
            </w:pPr>
            <w:r>
              <w:rPr>
                <w:rFonts w:hint="eastAsia" w:ascii="宋体" w:hAnsi="宋体"/>
                <w:bCs/>
                <w:color w:val="000000"/>
                <w:szCs w:val="20"/>
              </w:rPr>
              <w:t>小测试</w:t>
            </w:r>
          </w:p>
        </w:tc>
        <w:tc>
          <w:tcPr>
            <w:tcW w:w="1843" w:type="dxa"/>
            <w:tcBorders>
              <w:left w:val="nil"/>
            </w:tcBorders>
          </w:tcPr>
          <w:p>
            <w:pPr>
              <w:snapToGrid w:val="0"/>
              <w:spacing w:beforeLines="50" w:afterLines="50"/>
              <w:jc w:val="center"/>
              <w:rPr>
                <w:rFonts w:ascii="宋体"/>
              </w:rPr>
            </w:pPr>
            <w:r>
              <w:rPr>
                <w:rFonts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Pr>
          <w:p>
            <w:pPr>
              <w:snapToGrid w:val="0"/>
              <w:spacing w:beforeLines="50" w:afterLines="50"/>
              <w:jc w:val="center"/>
              <w:rPr>
                <w:rFonts w:ascii="宋体"/>
              </w:rPr>
            </w:pPr>
            <w:r>
              <w:rPr>
                <w:rFonts w:ascii="宋体" w:hAnsi="宋体" w:cs="宋体"/>
              </w:rPr>
              <w:t>X2</w:t>
            </w:r>
          </w:p>
        </w:tc>
        <w:tc>
          <w:tcPr>
            <w:tcW w:w="5103" w:type="dxa"/>
            <w:tcBorders>
              <w:left w:val="nil"/>
            </w:tcBorders>
          </w:tcPr>
          <w:p>
            <w:pPr>
              <w:snapToGrid w:val="0"/>
              <w:spacing w:beforeLines="50" w:afterLines="50"/>
              <w:jc w:val="center"/>
              <w:rPr>
                <w:rFonts w:ascii="宋体"/>
              </w:rPr>
            </w:pPr>
            <w:r>
              <w:rPr>
                <w:rFonts w:hint="eastAsia" w:ascii="宋体" w:hAnsi="宋体"/>
                <w:bCs/>
                <w:color w:val="000000"/>
                <w:szCs w:val="20"/>
              </w:rPr>
              <w:t>小测试</w:t>
            </w:r>
          </w:p>
        </w:tc>
        <w:tc>
          <w:tcPr>
            <w:tcW w:w="1843" w:type="dxa"/>
            <w:tcBorders>
              <w:left w:val="nil"/>
            </w:tcBorders>
          </w:tcPr>
          <w:p>
            <w:pPr>
              <w:snapToGrid w:val="0"/>
              <w:spacing w:beforeLines="50" w:afterLines="50"/>
              <w:jc w:val="center"/>
              <w:rPr>
                <w:rFonts w:ascii="宋体"/>
              </w:rPr>
            </w:pPr>
            <w:r>
              <w:rPr>
                <w:rFonts w:ascii="宋体" w:hAnsi="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Lines="50" w:afterLines="50"/>
              <w:jc w:val="center"/>
              <w:rPr>
                <w:rFonts w:ascii="宋体"/>
              </w:rPr>
            </w:pPr>
            <w:r>
              <w:rPr>
                <w:rFonts w:ascii="宋体" w:hAnsi="宋体" w:cs="宋体"/>
              </w:rPr>
              <w:t>X3</w:t>
            </w:r>
          </w:p>
        </w:tc>
        <w:tc>
          <w:tcPr>
            <w:tcW w:w="5103" w:type="dxa"/>
            <w:tcBorders>
              <w:left w:val="nil"/>
            </w:tcBorders>
          </w:tcPr>
          <w:p>
            <w:pPr>
              <w:snapToGrid w:val="0"/>
              <w:spacing w:beforeLines="50" w:afterLines="50"/>
              <w:jc w:val="center"/>
              <w:rPr>
                <w:rFonts w:ascii="宋体"/>
              </w:rPr>
            </w:pPr>
            <w:r>
              <w:rPr>
                <w:rFonts w:hint="eastAsia" w:ascii="宋体" w:hAnsi="宋体"/>
                <w:bCs/>
                <w:color w:val="000000"/>
                <w:szCs w:val="20"/>
              </w:rPr>
              <w:t>小测试</w:t>
            </w:r>
          </w:p>
        </w:tc>
        <w:tc>
          <w:tcPr>
            <w:tcW w:w="1843" w:type="dxa"/>
            <w:tcBorders>
              <w:left w:val="nil"/>
            </w:tcBorders>
          </w:tcPr>
          <w:p>
            <w:pPr>
              <w:snapToGrid w:val="0"/>
              <w:spacing w:beforeLines="50" w:afterLines="50"/>
              <w:jc w:val="center"/>
              <w:rPr>
                <w:rFonts w:ascii="宋体"/>
              </w:rPr>
            </w:pPr>
            <w:r>
              <w:rPr>
                <w:rFonts w:ascii="宋体" w:hAnsi="宋体" w:cs="宋体"/>
              </w:rPr>
              <w:t>15%</w:t>
            </w:r>
          </w:p>
        </w:tc>
      </w:tr>
    </w:tbl>
    <w:p>
      <w:pPr>
        <w:snapToGrid w:val="0"/>
        <w:spacing w:line="288" w:lineRule="auto"/>
        <w:ind w:right="2520" w:firstLine="480" w:firstLineChars="200"/>
        <w:rPr>
          <w:rFonts w:ascii="黑体" w:hAnsi="宋体" w:eastAsia="黑体"/>
          <w:sz w:val="24"/>
          <w:szCs w:val="24"/>
        </w:rPr>
      </w:pPr>
    </w:p>
    <w:p>
      <w:pPr>
        <w:snapToGrid w:val="0"/>
        <w:spacing w:line="288" w:lineRule="auto"/>
        <w:ind w:firstLine="120" w:firstLineChars="50"/>
        <w:rPr>
          <w:rFonts w:ascii="黑体" w:hAnsi="宋体" w:eastAsia="黑体"/>
          <w:sz w:val="24"/>
          <w:szCs w:val="24"/>
        </w:rPr>
      </w:pPr>
    </w:p>
    <w:p>
      <w:pPr>
        <w:snapToGrid w:val="0"/>
        <w:spacing w:line="288" w:lineRule="auto"/>
        <w:ind w:firstLine="105" w:firstLineChars="50"/>
        <w:rPr>
          <w:rFonts w:ascii="Times New Roman" w:hAnsi="Times New Roman" w:cs="Times New Roman"/>
        </w:rPr>
      </w:pPr>
      <w:r>
        <w:rPr>
          <w:rFonts w:hint="eastAsia" w:ascii="宋体" w:hAnsi="宋体" w:cs="宋体"/>
        </w:rPr>
        <w:t>撰写人：邱根成</w:t>
      </w:r>
      <w:r>
        <w:t xml:space="preserve"> </w:t>
      </w:r>
      <w:r>
        <w:rPr>
          <w:rFonts w:hint="eastAsia"/>
        </w:rPr>
        <w:t xml:space="preserve"> </w:t>
      </w:r>
      <w:bookmarkStart w:id="0" w:name="_GoBack"/>
      <w:bookmarkEnd w:id="0"/>
      <w:r>
        <w:t xml:space="preserve">     </w:t>
      </w:r>
      <w:r>
        <w:tab/>
      </w:r>
      <w:r>
        <w:tab/>
      </w:r>
      <w:r>
        <w:rPr>
          <w:rFonts w:hint="eastAsia" w:ascii="宋体" w:hAnsi="宋体" w:cs="宋体"/>
        </w:rPr>
        <w:t>主任审核签名：</w:t>
      </w:r>
      <w:r>
        <w:t xml:space="preserve">      </w:t>
      </w:r>
    </w:p>
    <w:p>
      <w:pPr>
        <w:snapToGrid w:val="0"/>
        <w:spacing w:line="288" w:lineRule="auto"/>
        <w:ind w:left="3360" w:firstLine="420" w:firstLineChars="200"/>
      </w:pPr>
      <w:r>
        <w:rPr>
          <w:rFonts w:hint="eastAsia" w:ascii="宋体" w:hAnsi="宋体" w:cs="宋体"/>
        </w:rPr>
        <w:t>审核时间：</w:t>
      </w:r>
    </w:p>
    <w:p>
      <w:pPr>
        <w:spacing w:line="288" w:lineRule="auto"/>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455E15"/>
    <w:rsid w:val="00455E15"/>
    <w:rsid w:val="00AB563F"/>
    <w:rsid w:val="0A5D50F8"/>
    <w:rsid w:val="0D2B5E0F"/>
    <w:rsid w:val="0D386113"/>
    <w:rsid w:val="18573B77"/>
    <w:rsid w:val="187B5A21"/>
    <w:rsid w:val="1A526B7F"/>
    <w:rsid w:val="23BE25FA"/>
    <w:rsid w:val="28254C29"/>
    <w:rsid w:val="4DE45D18"/>
    <w:rsid w:val="54AD50ED"/>
    <w:rsid w:val="654B5C68"/>
    <w:rsid w:val="722206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99"/>
    <w:pPr>
      <w:jc w:val="left"/>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文字 Char"/>
    <w:basedOn w:val="7"/>
    <w:link w:val="2"/>
    <w:uiPriority w:val="99"/>
    <w:rPr>
      <w:kern w:val="2"/>
      <w:sz w:val="22"/>
      <w:szCs w:val="22"/>
    </w:rPr>
  </w:style>
  <w:style w:type="character" w:customStyle="1" w:styleId="9">
    <w:name w:val="页脚 Char"/>
    <w:basedOn w:val="7"/>
    <w:link w:val="3"/>
    <w:uiPriority w:val="99"/>
    <w:rPr>
      <w:sz w:val="18"/>
      <w:szCs w:val="18"/>
    </w:rPr>
  </w:style>
  <w:style w:type="character" w:customStyle="1" w:styleId="10">
    <w:name w:val="页眉 Char"/>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608</Words>
  <Characters>3469</Characters>
  <Lines>28</Lines>
  <Paragraphs>8</Paragraphs>
  <TotalTime>12</TotalTime>
  <ScaleCrop>false</ScaleCrop>
  <LinksUpToDate>false</LinksUpToDate>
  <CharactersWithSpaces>4069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2021-09-02T10:58:00Z</dcterms:created>
  <dc:creator>juvg</dc:creator>
  <cp:lastModifiedBy>Administrator</cp:lastModifiedBy>
  <dcterms:modified xsi:type="dcterms:W3CDTF">2021-09-16T03:33:18Z</dcterms:modified>
  <dc:title>【日语词汇学】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22D11A0DD1E14F36BD1C7AEA2172B02D</vt:lpwstr>
  </property>
</Properties>
</file>